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4" w:type="dxa"/>
        <w:tblBorders>
          <w:top w:val="single" w:sz="12" w:space="0" w:color="003366"/>
          <w:left w:val="single" w:sz="12" w:space="0" w:color="003366"/>
          <w:bottom w:val="single" w:sz="12" w:space="0" w:color="003366"/>
          <w:right w:val="single" w:sz="12" w:space="0" w:color="003366"/>
          <w:insideH w:val="single" w:sz="12" w:space="0" w:color="003366"/>
          <w:insideV w:val="single" w:sz="12" w:space="0" w:color="003366"/>
        </w:tblBorders>
        <w:tblLayout w:type="fixed"/>
        <w:tblCellMar>
          <w:left w:w="0" w:type="dxa"/>
          <w:right w:w="0" w:type="dxa"/>
        </w:tblCellMar>
        <w:tblLook w:val="01E0" w:firstRow="1" w:lastRow="1" w:firstColumn="1" w:lastColumn="1" w:noHBand="0" w:noVBand="0"/>
      </w:tblPr>
      <w:tblGrid>
        <w:gridCol w:w="2635"/>
        <w:gridCol w:w="8467"/>
      </w:tblGrid>
      <w:tr w:rsidR="00702852">
        <w:trPr>
          <w:trHeight w:val="553"/>
        </w:trPr>
        <w:tc>
          <w:tcPr>
            <w:tcW w:w="2635" w:type="dxa"/>
            <w:vMerge w:val="restart"/>
            <w:tcBorders>
              <w:bottom w:val="single" w:sz="6" w:space="0" w:color="000000"/>
              <w:right w:val="nil"/>
            </w:tcBorders>
          </w:tcPr>
          <w:p w:rsidR="00702852" w:rsidRDefault="00702852">
            <w:pPr>
              <w:pStyle w:val="TableParagraph"/>
              <w:spacing w:before="3"/>
              <w:rPr>
                <w:rFonts w:ascii="Times New Roman"/>
                <w:sz w:val="21"/>
              </w:rPr>
            </w:pPr>
          </w:p>
          <w:p w:rsidR="00702852" w:rsidRDefault="00000000">
            <w:pPr>
              <w:pStyle w:val="TableParagraph"/>
              <w:ind w:left="332"/>
              <w:rPr>
                <w:rFonts w:ascii="Times New Roman"/>
                <w:sz w:val="20"/>
              </w:rPr>
            </w:pPr>
            <w:r>
              <w:rPr>
                <w:rFonts w:ascii="Times New Roman"/>
                <w:noProof/>
                <w:sz w:val="20"/>
              </w:rPr>
              <w:drawing>
                <wp:inline distT="0" distB="0" distL="0" distR="0">
                  <wp:extent cx="1236922" cy="565784"/>
                  <wp:effectExtent l="0" t="0" r="0" b="0"/>
                  <wp:docPr id="1" name="image1.jpeg" descr="P1C1T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36922" cy="565784"/>
                          </a:xfrm>
                          <a:prstGeom prst="rect">
                            <a:avLst/>
                          </a:prstGeom>
                        </pic:spPr>
                      </pic:pic>
                    </a:graphicData>
                  </a:graphic>
                </wp:inline>
              </w:drawing>
            </w:r>
          </w:p>
        </w:tc>
        <w:tc>
          <w:tcPr>
            <w:tcW w:w="8467" w:type="dxa"/>
            <w:tcBorders>
              <w:left w:val="nil"/>
              <w:bottom w:val="nil"/>
            </w:tcBorders>
            <w:shd w:val="clear" w:color="auto" w:fill="003366"/>
          </w:tcPr>
          <w:p w:rsidR="00702852" w:rsidRDefault="00000000">
            <w:pPr>
              <w:pStyle w:val="TableParagraph"/>
              <w:spacing w:before="89"/>
              <w:ind w:right="318"/>
              <w:jc w:val="right"/>
              <w:rPr>
                <w:b/>
                <w:sz w:val="36"/>
              </w:rPr>
            </w:pPr>
            <w:r>
              <w:rPr>
                <w:b/>
                <w:color w:val="FFFFFF"/>
                <w:sz w:val="36"/>
              </w:rPr>
              <w:t>MOVING/DELIVERY</w:t>
            </w:r>
            <w:r>
              <w:rPr>
                <w:b/>
                <w:color w:val="FFFFFF"/>
                <w:spacing w:val="-5"/>
                <w:sz w:val="36"/>
              </w:rPr>
              <w:t xml:space="preserve"> </w:t>
            </w:r>
            <w:r>
              <w:rPr>
                <w:b/>
                <w:color w:val="FFFFFF"/>
                <w:spacing w:val="-2"/>
                <w:sz w:val="36"/>
              </w:rPr>
              <w:t>POLICY</w:t>
            </w:r>
          </w:p>
        </w:tc>
      </w:tr>
      <w:tr w:rsidR="00702852">
        <w:trPr>
          <w:trHeight w:val="647"/>
        </w:trPr>
        <w:tc>
          <w:tcPr>
            <w:tcW w:w="2635" w:type="dxa"/>
            <w:vMerge/>
            <w:tcBorders>
              <w:top w:val="nil"/>
              <w:bottom w:val="single" w:sz="6" w:space="0" w:color="000000"/>
              <w:right w:val="nil"/>
            </w:tcBorders>
          </w:tcPr>
          <w:p w:rsidR="00702852" w:rsidRDefault="00702852">
            <w:pPr>
              <w:rPr>
                <w:sz w:val="2"/>
                <w:szCs w:val="2"/>
              </w:rPr>
            </w:pPr>
          </w:p>
        </w:tc>
        <w:tc>
          <w:tcPr>
            <w:tcW w:w="8467" w:type="dxa"/>
            <w:tcBorders>
              <w:top w:val="nil"/>
              <w:left w:val="single" w:sz="6" w:space="0" w:color="003366"/>
              <w:bottom w:val="single" w:sz="6" w:space="0" w:color="003366"/>
            </w:tcBorders>
          </w:tcPr>
          <w:p w:rsidR="00702852" w:rsidRDefault="00000000">
            <w:pPr>
              <w:pStyle w:val="TableParagraph"/>
              <w:spacing w:before="113"/>
              <w:ind w:right="317"/>
              <w:jc w:val="right"/>
              <w:rPr>
                <w:b/>
                <w:sz w:val="36"/>
              </w:rPr>
            </w:pPr>
            <w:r>
              <w:rPr>
                <w:b/>
                <w:sz w:val="36"/>
              </w:rPr>
              <w:t>Bishop</w:t>
            </w:r>
            <w:r>
              <w:rPr>
                <w:b/>
                <w:spacing w:val="-2"/>
                <w:sz w:val="36"/>
              </w:rPr>
              <w:t xml:space="preserve"> Square</w:t>
            </w:r>
          </w:p>
        </w:tc>
      </w:tr>
      <w:tr w:rsidR="00702852">
        <w:trPr>
          <w:trHeight w:val="13441"/>
        </w:trPr>
        <w:tc>
          <w:tcPr>
            <w:tcW w:w="11102" w:type="dxa"/>
            <w:gridSpan w:val="2"/>
            <w:tcBorders>
              <w:top w:val="single" w:sz="6" w:space="0" w:color="003366"/>
            </w:tcBorders>
          </w:tcPr>
          <w:p w:rsidR="00702852" w:rsidRDefault="00702852">
            <w:pPr>
              <w:pStyle w:val="TableParagraph"/>
              <w:spacing w:before="9"/>
              <w:rPr>
                <w:rFonts w:ascii="Times New Roman"/>
                <w:sz w:val="17"/>
              </w:rPr>
            </w:pPr>
          </w:p>
          <w:p w:rsidR="00702852" w:rsidRDefault="00000000">
            <w:pPr>
              <w:pStyle w:val="TableParagraph"/>
              <w:spacing w:before="1"/>
              <w:ind w:left="2943" w:right="1833" w:hanging="815"/>
              <w:rPr>
                <w:b/>
                <w:sz w:val="18"/>
              </w:rPr>
            </w:pPr>
            <w:r>
              <w:rPr>
                <w:b/>
                <w:color w:val="FF0000"/>
                <w:sz w:val="18"/>
              </w:rPr>
              <w:t>In moving furniture, equipment into or out of Bishop Square, all tenants and moving companies agree to adhere to the following rules:</w:t>
            </w:r>
          </w:p>
          <w:p w:rsidR="00702852" w:rsidRDefault="00702852">
            <w:pPr>
              <w:pStyle w:val="TableParagraph"/>
              <w:spacing w:before="8"/>
              <w:rPr>
                <w:rFonts w:ascii="Times New Roman"/>
                <w:sz w:val="24"/>
              </w:rPr>
            </w:pPr>
          </w:p>
          <w:p w:rsidR="00702852" w:rsidRDefault="00000000">
            <w:pPr>
              <w:pStyle w:val="TableParagraph"/>
              <w:numPr>
                <w:ilvl w:val="0"/>
                <w:numId w:val="2"/>
              </w:numPr>
              <w:tabs>
                <w:tab w:val="left" w:pos="557"/>
              </w:tabs>
              <w:spacing w:line="242" w:lineRule="auto"/>
              <w:ind w:right="289" w:hanging="2"/>
              <w:jc w:val="both"/>
              <w:rPr>
                <w:sz w:val="18"/>
              </w:rPr>
            </w:pPr>
            <w:r>
              <w:rPr>
                <w:b/>
                <w:sz w:val="18"/>
              </w:rPr>
              <w:t>Scheduling Your Move/Delivery</w:t>
            </w:r>
            <w:r>
              <w:rPr>
                <w:sz w:val="18"/>
              </w:rPr>
              <w:t>.</w:t>
            </w:r>
            <w:r>
              <w:rPr>
                <w:spacing w:val="40"/>
                <w:sz w:val="18"/>
              </w:rPr>
              <w:t xml:space="preserve"> </w:t>
            </w:r>
            <w:r>
              <w:rPr>
                <w:sz w:val="18"/>
              </w:rPr>
              <w:t>The Tenant must schedule all deliveries and moves at least 48 hours prior to the date of delivery/move by submitting a completed Building Access Form to Building Management. Movements of large quantities of</w:t>
            </w:r>
            <w:r>
              <w:rPr>
                <w:spacing w:val="80"/>
                <w:sz w:val="18"/>
              </w:rPr>
              <w:t xml:space="preserve"> </w:t>
            </w:r>
            <w:r>
              <w:rPr>
                <w:sz w:val="18"/>
              </w:rPr>
              <w:t>furniture, equipment or supplies must be scheduled after 6:00 PM except on weekends or holidays.</w:t>
            </w:r>
            <w:r>
              <w:rPr>
                <w:spacing w:val="80"/>
                <w:sz w:val="18"/>
              </w:rPr>
              <w:t xml:space="preserve"> </w:t>
            </w:r>
            <w:r>
              <w:rPr>
                <w:sz w:val="18"/>
              </w:rPr>
              <w:t>The Building Access Form</w:t>
            </w:r>
            <w:r>
              <w:rPr>
                <w:spacing w:val="40"/>
                <w:sz w:val="18"/>
              </w:rPr>
              <w:t xml:space="preserve"> </w:t>
            </w:r>
            <w:r>
              <w:rPr>
                <w:sz w:val="18"/>
              </w:rPr>
              <w:t>must specify any need for the freight elevator and/or the loading dock. After receiving the Form, the Building Management will schedule the move/delivery and designate the appropriate elevators to be used.</w:t>
            </w:r>
          </w:p>
          <w:p w:rsidR="00702852" w:rsidRDefault="00000000">
            <w:pPr>
              <w:pStyle w:val="TableParagraph"/>
              <w:spacing w:before="3"/>
              <w:ind w:left="328"/>
              <w:jc w:val="both"/>
              <w:rPr>
                <w:b/>
                <w:sz w:val="18"/>
              </w:rPr>
            </w:pPr>
            <w:r>
              <w:rPr>
                <w:b/>
                <w:sz w:val="18"/>
              </w:rPr>
              <w:t>Please</w:t>
            </w:r>
            <w:r>
              <w:rPr>
                <w:b/>
                <w:spacing w:val="3"/>
                <w:sz w:val="18"/>
              </w:rPr>
              <w:t xml:space="preserve"> </w:t>
            </w:r>
            <w:r>
              <w:rPr>
                <w:b/>
                <w:sz w:val="18"/>
              </w:rPr>
              <w:t>understand</w:t>
            </w:r>
            <w:r>
              <w:rPr>
                <w:b/>
                <w:spacing w:val="5"/>
                <w:sz w:val="18"/>
              </w:rPr>
              <w:t xml:space="preserve"> </w:t>
            </w:r>
            <w:r>
              <w:rPr>
                <w:b/>
                <w:sz w:val="18"/>
              </w:rPr>
              <w:t>that</w:t>
            </w:r>
            <w:r>
              <w:rPr>
                <w:b/>
                <w:spacing w:val="7"/>
                <w:sz w:val="18"/>
              </w:rPr>
              <w:t xml:space="preserve"> </w:t>
            </w:r>
            <w:r>
              <w:rPr>
                <w:b/>
                <w:sz w:val="18"/>
              </w:rPr>
              <w:t>your</w:t>
            </w:r>
            <w:r>
              <w:rPr>
                <w:b/>
                <w:spacing w:val="7"/>
                <w:sz w:val="18"/>
              </w:rPr>
              <w:t xml:space="preserve"> </w:t>
            </w:r>
            <w:r>
              <w:rPr>
                <w:b/>
                <w:sz w:val="18"/>
              </w:rPr>
              <w:t>move/delivery</w:t>
            </w:r>
            <w:r>
              <w:rPr>
                <w:b/>
                <w:spacing w:val="5"/>
                <w:sz w:val="18"/>
              </w:rPr>
              <w:t xml:space="preserve"> </w:t>
            </w:r>
            <w:r>
              <w:rPr>
                <w:b/>
                <w:sz w:val="18"/>
              </w:rPr>
              <w:t>is</w:t>
            </w:r>
            <w:r>
              <w:rPr>
                <w:b/>
                <w:spacing w:val="8"/>
                <w:sz w:val="18"/>
              </w:rPr>
              <w:t xml:space="preserve"> </w:t>
            </w:r>
            <w:r>
              <w:rPr>
                <w:b/>
                <w:sz w:val="18"/>
              </w:rPr>
              <w:t>not scheduled until</w:t>
            </w:r>
            <w:r>
              <w:rPr>
                <w:b/>
                <w:spacing w:val="-2"/>
                <w:sz w:val="18"/>
              </w:rPr>
              <w:t xml:space="preserve"> </w:t>
            </w:r>
            <w:r>
              <w:rPr>
                <w:b/>
                <w:sz w:val="18"/>
              </w:rPr>
              <w:t>confirmed by</w:t>
            </w:r>
            <w:r>
              <w:rPr>
                <w:b/>
                <w:spacing w:val="1"/>
                <w:sz w:val="18"/>
              </w:rPr>
              <w:t xml:space="preserve"> </w:t>
            </w:r>
            <w:r>
              <w:rPr>
                <w:b/>
                <w:sz w:val="18"/>
              </w:rPr>
              <w:t>the</w:t>
            </w:r>
            <w:r>
              <w:rPr>
                <w:b/>
                <w:spacing w:val="1"/>
                <w:sz w:val="18"/>
              </w:rPr>
              <w:t xml:space="preserve"> </w:t>
            </w:r>
            <w:r>
              <w:rPr>
                <w:b/>
                <w:sz w:val="18"/>
              </w:rPr>
              <w:t>Office</w:t>
            </w:r>
            <w:r>
              <w:rPr>
                <w:b/>
                <w:spacing w:val="-2"/>
                <w:sz w:val="18"/>
              </w:rPr>
              <w:t xml:space="preserve"> </w:t>
            </w:r>
            <w:r>
              <w:rPr>
                <w:b/>
                <w:sz w:val="18"/>
              </w:rPr>
              <w:t>of the</w:t>
            </w:r>
            <w:r>
              <w:rPr>
                <w:b/>
                <w:spacing w:val="-2"/>
                <w:sz w:val="18"/>
              </w:rPr>
              <w:t xml:space="preserve"> Building.</w:t>
            </w:r>
          </w:p>
          <w:p w:rsidR="00702852" w:rsidRDefault="00702852">
            <w:pPr>
              <w:pStyle w:val="TableParagraph"/>
              <w:spacing w:before="5"/>
              <w:rPr>
                <w:rFonts w:ascii="Times New Roman"/>
                <w:sz w:val="24"/>
              </w:rPr>
            </w:pPr>
          </w:p>
          <w:p w:rsidR="00702852" w:rsidRDefault="00000000">
            <w:pPr>
              <w:pStyle w:val="TableParagraph"/>
              <w:numPr>
                <w:ilvl w:val="0"/>
                <w:numId w:val="2"/>
              </w:numPr>
              <w:tabs>
                <w:tab w:val="left" w:pos="557"/>
              </w:tabs>
              <w:ind w:right="280" w:hanging="2"/>
              <w:jc w:val="both"/>
              <w:rPr>
                <w:sz w:val="18"/>
              </w:rPr>
            </w:pPr>
            <w:r>
              <w:rPr>
                <w:b/>
                <w:sz w:val="18"/>
              </w:rPr>
              <w:t>Inspection of the Premises and Access.</w:t>
            </w:r>
            <w:r>
              <w:rPr>
                <w:b/>
                <w:spacing w:val="40"/>
                <w:sz w:val="18"/>
              </w:rPr>
              <w:t xml:space="preserve"> </w:t>
            </w:r>
            <w:r>
              <w:rPr>
                <w:sz w:val="18"/>
              </w:rPr>
              <w:t>Prior to the date of the move/delivery, Tenant must arrange for a walk-through inspection of its suite and the access</w:t>
            </w:r>
            <w:r>
              <w:rPr>
                <w:spacing w:val="14"/>
                <w:sz w:val="18"/>
              </w:rPr>
              <w:t xml:space="preserve"> </w:t>
            </w:r>
            <w:r>
              <w:rPr>
                <w:sz w:val="18"/>
              </w:rPr>
              <w:t>route by the moving company, Tenant and Building Management. The moving company</w:t>
            </w:r>
            <w:r>
              <w:rPr>
                <w:spacing w:val="14"/>
                <w:sz w:val="18"/>
              </w:rPr>
              <w:t xml:space="preserve"> </w:t>
            </w:r>
            <w:r>
              <w:rPr>
                <w:sz w:val="18"/>
              </w:rPr>
              <w:t>will</w:t>
            </w:r>
            <w:r>
              <w:rPr>
                <w:spacing w:val="40"/>
                <w:sz w:val="18"/>
              </w:rPr>
              <w:t xml:space="preserve"> </w:t>
            </w:r>
            <w:r>
              <w:rPr>
                <w:sz w:val="18"/>
              </w:rPr>
              <w:t xml:space="preserve">be responsible for independently inspecting the premises in order to become familiar with the conditions existing at the </w:t>
            </w:r>
            <w:proofErr w:type="gramStart"/>
            <w:r>
              <w:rPr>
                <w:sz w:val="18"/>
              </w:rPr>
              <w:t>Building</w:t>
            </w:r>
            <w:proofErr w:type="gramEnd"/>
            <w:r>
              <w:rPr>
                <w:sz w:val="18"/>
              </w:rPr>
              <w:t>, including, but not limited to, verifying various access dimensions, so that it may furnish such equipment and labor necessary to provide for the orderly and efficient movement of the property.</w:t>
            </w:r>
            <w:r>
              <w:rPr>
                <w:spacing w:val="40"/>
                <w:sz w:val="18"/>
              </w:rPr>
              <w:t xml:space="preserve"> </w:t>
            </w:r>
            <w:r>
              <w:rPr>
                <w:sz w:val="18"/>
              </w:rPr>
              <w:t xml:space="preserve">These areas should be inspected for damage before and after the </w:t>
            </w:r>
            <w:r>
              <w:rPr>
                <w:spacing w:val="-2"/>
                <w:sz w:val="18"/>
              </w:rPr>
              <w:t>move.</w:t>
            </w:r>
          </w:p>
          <w:p w:rsidR="00702852" w:rsidRDefault="00702852">
            <w:pPr>
              <w:pStyle w:val="TableParagraph"/>
              <w:spacing w:before="4"/>
              <w:rPr>
                <w:rFonts w:ascii="Times New Roman"/>
                <w:sz w:val="24"/>
              </w:rPr>
            </w:pPr>
          </w:p>
          <w:p w:rsidR="00702852" w:rsidRDefault="00000000">
            <w:pPr>
              <w:pStyle w:val="TableParagraph"/>
              <w:numPr>
                <w:ilvl w:val="0"/>
                <w:numId w:val="2"/>
              </w:numPr>
              <w:tabs>
                <w:tab w:val="left" w:pos="557"/>
              </w:tabs>
              <w:ind w:left="556"/>
              <w:rPr>
                <w:sz w:val="18"/>
              </w:rPr>
            </w:pPr>
            <w:r>
              <w:rPr>
                <w:b/>
                <w:sz w:val="18"/>
              </w:rPr>
              <w:t>Supervision, Labor, Material and</w:t>
            </w:r>
            <w:r>
              <w:rPr>
                <w:b/>
                <w:spacing w:val="1"/>
                <w:sz w:val="18"/>
              </w:rPr>
              <w:t xml:space="preserve"> </w:t>
            </w:r>
            <w:r>
              <w:rPr>
                <w:b/>
                <w:sz w:val="18"/>
              </w:rPr>
              <w:t>Equipment.</w:t>
            </w:r>
            <w:r>
              <w:rPr>
                <w:b/>
                <w:spacing w:val="48"/>
                <w:sz w:val="18"/>
              </w:rPr>
              <w:t xml:space="preserve"> </w:t>
            </w:r>
            <w:r>
              <w:rPr>
                <w:sz w:val="18"/>
              </w:rPr>
              <w:t>The Tenant and</w:t>
            </w:r>
            <w:r>
              <w:rPr>
                <w:spacing w:val="1"/>
                <w:sz w:val="18"/>
              </w:rPr>
              <w:t xml:space="preserve"> </w:t>
            </w:r>
            <w:r>
              <w:rPr>
                <w:sz w:val="18"/>
              </w:rPr>
              <w:t>the</w:t>
            </w:r>
            <w:r>
              <w:rPr>
                <w:spacing w:val="1"/>
                <w:sz w:val="18"/>
              </w:rPr>
              <w:t xml:space="preserve"> </w:t>
            </w:r>
            <w:r>
              <w:rPr>
                <w:sz w:val="18"/>
              </w:rPr>
              <w:t>moving</w:t>
            </w:r>
            <w:r>
              <w:rPr>
                <w:spacing w:val="-2"/>
                <w:sz w:val="18"/>
              </w:rPr>
              <w:t xml:space="preserve"> </w:t>
            </w:r>
            <w:r>
              <w:rPr>
                <w:sz w:val="18"/>
              </w:rPr>
              <w:t>company</w:t>
            </w:r>
            <w:r>
              <w:rPr>
                <w:spacing w:val="-1"/>
                <w:sz w:val="18"/>
              </w:rPr>
              <w:t xml:space="preserve"> </w:t>
            </w:r>
            <w:r>
              <w:rPr>
                <w:sz w:val="18"/>
              </w:rPr>
              <w:t>are</w:t>
            </w:r>
            <w:r>
              <w:rPr>
                <w:spacing w:val="1"/>
                <w:sz w:val="18"/>
              </w:rPr>
              <w:t xml:space="preserve"> </w:t>
            </w:r>
            <w:r>
              <w:rPr>
                <w:sz w:val="18"/>
              </w:rPr>
              <w:t>each</w:t>
            </w:r>
            <w:r>
              <w:rPr>
                <w:spacing w:val="1"/>
                <w:sz w:val="18"/>
              </w:rPr>
              <w:t xml:space="preserve"> </w:t>
            </w:r>
            <w:r>
              <w:rPr>
                <w:sz w:val="18"/>
              </w:rPr>
              <w:t>responsible</w:t>
            </w:r>
            <w:r>
              <w:rPr>
                <w:spacing w:val="1"/>
                <w:sz w:val="18"/>
              </w:rPr>
              <w:t xml:space="preserve"> </w:t>
            </w:r>
            <w:r>
              <w:rPr>
                <w:sz w:val="18"/>
              </w:rPr>
              <w:t>for</w:t>
            </w:r>
            <w:r>
              <w:rPr>
                <w:spacing w:val="-2"/>
                <w:sz w:val="18"/>
              </w:rPr>
              <w:t xml:space="preserve"> </w:t>
            </w:r>
            <w:r>
              <w:rPr>
                <w:sz w:val="18"/>
              </w:rPr>
              <w:t>ensuring</w:t>
            </w:r>
            <w:r>
              <w:rPr>
                <w:spacing w:val="1"/>
                <w:sz w:val="18"/>
              </w:rPr>
              <w:t xml:space="preserve"> </w:t>
            </w:r>
            <w:r>
              <w:rPr>
                <w:spacing w:val="-2"/>
                <w:sz w:val="18"/>
              </w:rPr>
              <w:t>that:</w:t>
            </w:r>
          </w:p>
          <w:p w:rsidR="00702852" w:rsidRDefault="00000000">
            <w:pPr>
              <w:pStyle w:val="TableParagraph"/>
              <w:numPr>
                <w:ilvl w:val="1"/>
                <w:numId w:val="2"/>
              </w:numPr>
              <w:tabs>
                <w:tab w:val="left" w:pos="870"/>
                <w:tab w:val="left" w:pos="871"/>
              </w:tabs>
              <w:spacing w:before="61"/>
              <w:ind w:hanging="361"/>
              <w:rPr>
                <w:sz w:val="18"/>
              </w:rPr>
            </w:pPr>
            <w:r>
              <w:rPr>
                <w:sz w:val="18"/>
              </w:rPr>
              <w:t>All</w:t>
            </w:r>
            <w:r>
              <w:rPr>
                <w:spacing w:val="-1"/>
                <w:sz w:val="18"/>
              </w:rPr>
              <w:t xml:space="preserve"> </w:t>
            </w:r>
            <w:r>
              <w:rPr>
                <w:sz w:val="18"/>
              </w:rPr>
              <w:t>material</w:t>
            </w:r>
            <w:r>
              <w:rPr>
                <w:spacing w:val="1"/>
                <w:sz w:val="18"/>
              </w:rPr>
              <w:t xml:space="preserve"> </w:t>
            </w:r>
            <w:r>
              <w:rPr>
                <w:sz w:val="18"/>
              </w:rPr>
              <w:t>handling</w:t>
            </w:r>
            <w:r>
              <w:rPr>
                <w:spacing w:val="1"/>
                <w:sz w:val="18"/>
              </w:rPr>
              <w:t xml:space="preserve"> </w:t>
            </w:r>
            <w:r>
              <w:rPr>
                <w:sz w:val="18"/>
              </w:rPr>
              <w:t>vehicles</w:t>
            </w:r>
            <w:r>
              <w:rPr>
                <w:spacing w:val="-1"/>
                <w:sz w:val="18"/>
              </w:rPr>
              <w:t xml:space="preserve"> </w:t>
            </w:r>
            <w:r>
              <w:rPr>
                <w:sz w:val="18"/>
              </w:rPr>
              <w:t>must</w:t>
            </w:r>
            <w:r>
              <w:rPr>
                <w:spacing w:val="-2"/>
                <w:sz w:val="18"/>
              </w:rPr>
              <w:t xml:space="preserve"> </w:t>
            </w:r>
            <w:r>
              <w:rPr>
                <w:sz w:val="18"/>
              </w:rPr>
              <w:t>have</w:t>
            </w:r>
            <w:r>
              <w:rPr>
                <w:spacing w:val="1"/>
                <w:sz w:val="18"/>
              </w:rPr>
              <w:t xml:space="preserve"> </w:t>
            </w:r>
            <w:r>
              <w:rPr>
                <w:sz w:val="18"/>
              </w:rPr>
              <w:t>rubber-tired</w:t>
            </w:r>
            <w:r>
              <w:rPr>
                <w:spacing w:val="-2"/>
                <w:sz w:val="18"/>
              </w:rPr>
              <w:t xml:space="preserve"> </w:t>
            </w:r>
            <w:r>
              <w:rPr>
                <w:sz w:val="18"/>
              </w:rPr>
              <w:t>wheels and</w:t>
            </w:r>
            <w:r>
              <w:rPr>
                <w:spacing w:val="1"/>
                <w:sz w:val="18"/>
              </w:rPr>
              <w:t xml:space="preserve"> </w:t>
            </w:r>
            <w:r>
              <w:rPr>
                <w:sz w:val="18"/>
              </w:rPr>
              <w:t>be</w:t>
            </w:r>
            <w:r>
              <w:rPr>
                <w:spacing w:val="1"/>
                <w:sz w:val="18"/>
              </w:rPr>
              <w:t xml:space="preserve"> </w:t>
            </w:r>
            <w:r>
              <w:rPr>
                <w:sz w:val="18"/>
              </w:rPr>
              <w:t>maintained</w:t>
            </w:r>
            <w:r>
              <w:rPr>
                <w:spacing w:val="1"/>
                <w:sz w:val="18"/>
              </w:rPr>
              <w:t xml:space="preserve"> </w:t>
            </w:r>
            <w:r>
              <w:rPr>
                <w:sz w:val="18"/>
              </w:rPr>
              <w:t>free</w:t>
            </w:r>
            <w:r>
              <w:rPr>
                <w:spacing w:val="1"/>
                <w:sz w:val="18"/>
              </w:rPr>
              <w:t xml:space="preserve"> </w:t>
            </w:r>
            <w:r>
              <w:rPr>
                <w:sz w:val="18"/>
              </w:rPr>
              <w:t>of</w:t>
            </w:r>
            <w:r>
              <w:rPr>
                <w:spacing w:val="-2"/>
                <w:sz w:val="18"/>
              </w:rPr>
              <w:t xml:space="preserve"> </w:t>
            </w:r>
            <w:r>
              <w:rPr>
                <w:sz w:val="18"/>
              </w:rPr>
              <w:t>grease</w:t>
            </w:r>
            <w:r>
              <w:rPr>
                <w:spacing w:val="-2"/>
                <w:sz w:val="18"/>
              </w:rPr>
              <w:t xml:space="preserve"> </w:t>
            </w:r>
            <w:r>
              <w:rPr>
                <w:sz w:val="18"/>
              </w:rPr>
              <w:t>and</w:t>
            </w:r>
            <w:r>
              <w:rPr>
                <w:spacing w:val="-1"/>
                <w:sz w:val="18"/>
              </w:rPr>
              <w:t xml:space="preserve"> </w:t>
            </w:r>
            <w:r>
              <w:rPr>
                <w:spacing w:val="-2"/>
                <w:sz w:val="18"/>
              </w:rPr>
              <w:t>dirt.</w:t>
            </w:r>
          </w:p>
          <w:p w:rsidR="00702852" w:rsidRDefault="00000000">
            <w:pPr>
              <w:pStyle w:val="TableParagraph"/>
              <w:numPr>
                <w:ilvl w:val="1"/>
                <w:numId w:val="2"/>
              </w:numPr>
              <w:tabs>
                <w:tab w:val="left" w:pos="870"/>
                <w:tab w:val="left" w:pos="871"/>
              </w:tabs>
              <w:spacing w:before="79"/>
              <w:ind w:hanging="361"/>
              <w:rPr>
                <w:sz w:val="18"/>
              </w:rPr>
            </w:pPr>
            <w:r>
              <w:rPr>
                <w:sz w:val="18"/>
              </w:rPr>
              <w:t>All</w:t>
            </w:r>
            <w:r>
              <w:rPr>
                <w:spacing w:val="1"/>
                <w:sz w:val="18"/>
              </w:rPr>
              <w:t xml:space="preserve"> </w:t>
            </w:r>
            <w:r>
              <w:rPr>
                <w:sz w:val="18"/>
              </w:rPr>
              <w:t>items</w:t>
            </w:r>
            <w:r>
              <w:rPr>
                <w:spacing w:val="1"/>
                <w:sz w:val="18"/>
              </w:rPr>
              <w:t xml:space="preserve"> </w:t>
            </w:r>
            <w:r>
              <w:rPr>
                <w:sz w:val="18"/>
              </w:rPr>
              <w:t>are</w:t>
            </w:r>
            <w:r>
              <w:rPr>
                <w:spacing w:val="-2"/>
                <w:sz w:val="18"/>
              </w:rPr>
              <w:t xml:space="preserve"> </w:t>
            </w:r>
            <w:r>
              <w:rPr>
                <w:sz w:val="18"/>
              </w:rPr>
              <w:t>moved</w:t>
            </w:r>
            <w:r>
              <w:rPr>
                <w:spacing w:val="-2"/>
                <w:sz w:val="18"/>
              </w:rPr>
              <w:t xml:space="preserve"> </w:t>
            </w:r>
            <w:r>
              <w:rPr>
                <w:sz w:val="18"/>
              </w:rPr>
              <w:t>through</w:t>
            </w:r>
            <w:r>
              <w:rPr>
                <w:spacing w:val="1"/>
                <w:sz w:val="18"/>
              </w:rPr>
              <w:t xml:space="preserve"> </w:t>
            </w:r>
            <w:r>
              <w:rPr>
                <w:sz w:val="18"/>
              </w:rPr>
              <w:t>the</w:t>
            </w:r>
            <w:r>
              <w:rPr>
                <w:spacing w:val="1"/>
                <w:sz w:val="18"/>
              </w:rPr>
              <w:t xml:space="preserve"> </w:t>
            </w:r>
            <w:r>
              <w:rPr>
                <w:sz w:val="18"/>
              </w:rPr>
              <w:t>basement and</w:t>
            </w:r>
            <w:r>
              <w:rPr>
                <w:spacing w:val="1"/>
                <w:sz w:val="18"/>
              </w:rPr>
              <w:t xml:space="preserve"> </w:t>
            </w:r>
            <w:r>
              <w:rPr>
                <w:sz w:val="18"/>
              </w:rPr>
              <w:t>the</w:t>
            </w:r>
            <w:r>
              <w:rPr>
                <w:spacing w:val="-2"/>
                <w:sz w:val="18"/>
              </w:rPr>
              <w:t xml:space="preserve"> </w:t>
            </w:r>
            <w:r>
              <w:rPr>
                <w:sz w:val="18"/>
              </w:rPr>
              <w:t>service</w:t>
            </w:r>
            <w:r>
              <w:rPr>
                <w:spacing w:val="1"/>
                <w:sz w:val="18"/>
              </w:rPr>
              <w:t xml:space="preserve"> </w:t>
            </w:r>
            <w:r>
              <w:rPr>
                <w:spacing w:val="-2"/>
                <w:sz w:val="18"/>
              </w:rPr>
              <w:t>elevators.</w:t>
            </w:r>
          </w:p>
          <w:p w:rsidR="00702852" w:rsidRDefault="00000000">
            <w:pPr>
              <w:pStyle w:val="TableParagraph"/>
              <w:numPr>
                <w:ilvl w:val="1"/>
                <w:numId w:val="2"/>
              </w:numPr>
              <w:tabs>
                <w:tab w:val="left" w:pos="870"/>
                <w:tab w:val="left" w:pos="871"/>
              </w:tabs>
              <w:spacing w:before="80"/>
              <w:ind w:hanging="361"/>
              <w:rPr>
                <w:sz w:val="18"/>
              </w:rPr>
            </w:pPr>
            <w:r>
              <w:rPr>
                <w:sz w:val="18"/>
              </w:rPr>
              <w:t>All</w:t>
            </w:r>
            <w:r>
              <w:rPr>
                <w:spacing w:val="1"/>
                <w:sz w:val="18"/>
              </w:rPr>
              <w:t xml:space="preserve"> </w:t>
            </w:r>
            <w:r>
              <w:rPr>
                <w:sz w:val="18"/>
              </w:rPr>
              <w:t>necessary</w:t>
            </w:r>
            <w:r>
              <w:rPr>
                <w:spacing w:val="1"/>
                <w:sz w:val="18"/>
              </w:rPr>
              <w:t xml:space="preserve"> </w:t>
            </w:r>
            <w:r>
              <w:rPr>
                <w:sz w:val="18"/>
              </w:rPr>
              <w:t>parking</w:t>
            </w:r>
            <w:r>
              <w:rPr>
                <w:spacing w:val="-2"/>
                <w:sz w:val="18"/>
              </w:rPr>
              <w:t xml:space="preserve"> </w:t>
            </w:r>
            <w:r>
              <w:rPr>
                <w:sz w:val="18"/>
              </w:rPr>
              <w:t>and</w:t>
            </w:r>
            <w:r>
              <w:rPr>
                <w:spacing w:val="-2"/>
                <w:sz w:val="18"/>
              </w:rPr>
              <w:t xml:space="preserve"> </w:t>
            </w:r>
            <w:r>
              <w:rPr>
                <w:sz w:val="18"/>
              </w:rPr>
              <w:t>other permits</w:t>
            </w:r>
            <w:r>
              <w:rPr>
                <w:spacing w:val="1"/>
                <w:sz w:val="18"/>
              </w:rPr>
              <w:t xml:space="preserve"> </w:t>
            </w:r>
            <w:r>
              <w:rPr>
                <w:sz w:val="18"/>
              </w:rPr>
              <w:t>are</w:t>
            </w:r>
            <w:r>
              <w:rPr>
                <w:spacing w:val="-2"/>
                <w:sz w:val="18"/>
              </w:rPr>
              <w:t xml:space="preserve"> </w:t>
            </w:r>
            <w:r>
              <w:rPr>
                <w:sz w:val="18"/>
              </w:rPr>
              <w:t>obtained</w:t>
            </w:r>
            <w:r>
              <w:rPr>
                <w:spacing w:val="1"/>
                <w:sz w:val="18"/>
              </w:rPr>
              <w:t xml:space="preserve"> </w:t>
            </w:r>
            <w:r>
              <w:rPr>
                <w:sz w:val="18"/>
              </w:rPr>
              <w:t>and</w:t>
            </w:r>
            <w:r>
              <w:rPr>
                <w:spacing w:val="1"/>
                <w:sz w:val="18"/>
              </w:rPr>
              <w:t xml:space="preserve"> </w:t>
            </w:r>
            <w:r>
              <w:rPr>
                <w:sz w:val="18"/>
              </w:rPr>
              <w:t>complied</w:t>
            </w:r>
            <w:r>
              <w:rPr>
                <w:spacing w:val="1"/>
                <w:sz w:val="18"/>
              </w:rPr>
              <w:t xml:space="preserve"> </w:t>
            </w:r>
            <w:r>
              <w:rPr>
                <w:spacing w:val="-2"/>
                <w:sz w:val="18"/>
              </w:rPr>
              <w:t>with.</w:t>
            </w:r>
          </w:p>
          <w:p w:rsidR="00702852" w:rsidRDefault="00000000">
            <w:pPr>
              <w:pStyle w:val="TableParagraph"/>
              <w:numPr>
                <w:ilvl w:val="1"/>
                <w:numId w:val="2"/>
              </w:numPr>
              <w:tabs>
                <w:tab w:val="left" w:pos="871"/>
              </w:tabs>
              <w:spacing w:before="74" w:line="242" w:lineRule="auto"/>
              <w:ind w:right="294"/>
              <w:jc w:val="both"/>
              <w:rPr>
                <w:sz w:val="18"/>
              </w:rPr>
            </w:pPr>
            <w:r>
              <w:rPr>
                <w:sz w:val="18"/>
              </w:rPr>
              <w:t xml:space="preserve">Each employee of the moving company is bonded and has company identification visible in order to maintain security of the </w:t>
            </w:r>
            <w:r>
              <w:rPr>
                <w:spacing w:val="-2"/>
                <w:sz w:val="18"/>
              </w:rPr>
              <w:t>premises.</w:t>
            </w:r>
          </w:p>
          <w:p w:rsidR="00702852" w:rsidRDefault="00000000">
            <w:pPr>
              <w:pStyle w:val="TableParagraph"/>
              <w:numPr>
                <w:ilvl w:val="1"/>
                <w:numId w:val="2"/>
              </w:numPr>
              <w:tabs>
                <w:tab w:val="left" w:pos="871"/>
              </w:tabs>
              <w:spacing w:before="75"/>
              <w:ind w:right="286"/>
              <w:jc w:val="both"/>
              <w:rPr>
                <w:sz w:val="18"/>
              </w:rPr>
            </w:pPr>
            <w:r>
              <w:rPr>
                <w:sz w:val="18"/>
              </w:rPr>
              <w:t>Floor, carpet, wall and glass protective materials are appropriately used (and then removed) wherever necessary to protect the Building from</w:t>
            </w:r>
            <w:r>
              <w:rPr>
                <w:spacing w:val="20"/>
                <w:sz w:val="18"/>
              </w:rPr>
              <w:t xml:space="preserve"> </w:t>
            </w:r>
            <w:r>
              <w:rPr>
                <w:sz w:val="18"/>
              </w:rPr>
              <w:t xml:space="preserve">damage, including but not limited to elevator corners protection, </w:t>
            </w:r>
            <w:r w:rsidR="00BC2623">
              <w:rPr>
                <w:sz w:val="18"/>
              </w:rPr>
              <w:t>Masonite</w:t>
            </w:r>
            <w:r>
              <w:rPr>
                <w:sz w:val="18"/>
              </w:rPr>
              <w:t xml:space="preserve"> floor protection on all</w:t>
            </w:r>
            <w:r>
              <w:rPr>
                <w:spacing w:val="20"/>
                <w:sz w:val="18"/>
              </w:rPr>
              <w:t xml:space="preserve"> </w:t>
            </w:r>
            <w:r>
              <w:rPr>
                <w:sz w:val="18"/>
              </w:rPr>
              <w:t>carpet,</w:t>
            </w:r>
            <w:r>
              <w:rPr>
                <w:spacing w:val="40"/>
                <w:sz w:val="18"/>
              </w:rPr>
              <w:t xml:space="preserve"> </w:t>
            </w:r>
            <w:r>
              <w:rPr>
                <w:sz w:val="18"/>
              </w:rPr>
              <w:t>tile, and thresholds, and walk-off plates for all entry door and elevator thresholds.</w:t>
            </w:r>
          </w:p>
          <w:p w:rsidR="00702852" w:rsidRDefault="00000000">
            <w:pPr>
              <w:pStyle w:val="TableParagraph"/>
              <w:numPr>
                <w:ilvl w:val="1"/>
                <w:numId w:val="2"/>
              </w:numPr>
              <w:tabs>
                <w:tab w:val="left" w:pos="871"/>
              </w:tabs>
              <w:spacing w:before="81"/>
              <w:ind w:hanging="361"/>
              <w:jc w:val="both"/>
              <w:rPr>
                <w:sz w:val="18"/>
              </w:rPr>
            </w:pPr>
            <w:r>
              <w:rPr>
                <w:sz w:val="18"/>
              </w:rPr>
              <w:t>Building</w:t>
            </w:r>
            <w:r>
              <w:rPr>
                <w:spacing w:val="-2"/>
                <w:sz w:val="18"/>
              </w:rPr>
              <w:t xml:space="preserve"> </w:t>
            </w:r>
            <w:r>
              <w:rPr>
                <w:sz w:val="18"/>
              </w:rPr>
              <w:t>corridors, entrances</w:t>
            </w:r>
            <w:r>
              <w:rPr>
                <w:spacing w:val="-1"/>
                <w:sz w:val="18"/>
              </w:rPr>
              <w:t xml:space="preserve"> </w:t>
            </w:r>
            <w:r>
              <w:rPr>
                <w:sz w:val="18"/>
              </w:rPr>
              <w:t>and</w:t>
            </w:r>
            <w:r>
              <w:rPr>
                <w:spacing w:val="1"/>
                <w:sz w:val="18"/>
              </w:rPr>
              <w:t xml:space="preserve"> </w:t>
            </w:r>
            <w:r>
              <w:rPr>
                <w:sz w:val="18"/>
              </w:rPr>
              <w:t>exits</w:t>
            </w:r>
            <w:r>
              <w:rPr>
                <w:spacing w:val="1"/>
                <w:sz w:val="18"/>
              </w:rPr>
              <w:t xml:space="preserve"> </w:t>
            </w:r>
            <w:r>
              <w:rPr>
                <w:sz w:val="18"/>
              </w:rPr>
              <w:t>are</w:t>
            </w:r>
            <w:r>
              <w:rPr>
                <w:spacing w:val="-2"/>
                <w:sz w:val="18"/>
              </w:rPr>
              <w:t xml:space="preserve"> </w:t>
            </w:r>
            <w:r>
              <w:rPr>
                <w:sz w:val="18"/>
              </w:rPr>
              <w:t>not</w:t>
            </w:r>
            <w:r>
              <w:rPr>
                <w:spacing w:val="-1"/>
                <w:sz w:val="18"/>
              </w:rPr>
              <w:t xml:space="preserve"> </w:t>
            </w:r>
            <w:r>
              <w:rPr>
                <w:spacing w:val="-2"/>
                <w:sz w:val="18"/>
              </w:rPr>
              <w:t>blocked.</w:t>
            </w:r>
          </w:p>
          <w:p w:rsidR="00702852" w:rsidRDefault="00000000">
            <w:pPr>
              <w:pStyle w:val="TableParagraph"/>
              <w:numPr>
                <w:ilvl w:val="1"/>
                <w:numId w:val="2"/>
              </w:numPr>
              <w:tabs>
                <w:tab w:val="left" w:pos="871"/>
              </w:tabs>
              <w:spacing w:before="79"/>
              <w:ind w:hanging="361"/>
              <w:jc w:val="both"/>
              <w:rPr>
                <w:sz w:val="18"/>
              </w:rPr>
            </w:pPr>
            <w:r>
              <w:rPr>
                <w:sz w:val="18"/>
              </w:rPr>
              <w:t>Entrance</w:t>
            </w:r>
            <w:r>
              <w:rPr>
                <w:spacing w:val="1"/>
                <w:sz w:val="18"/>
              </w:rPr>
              <w:t xml:space="preserve"> </w:t>
            </w:r>
            <w:r>
              <w:rPr>
                <w:sz w:val="18"/>
              </w:rPr>
              <w:t>doors</w:t>
            </w:r>
            <w:r>
              <w:rPr>
                <w:spacing w:val="-1"/>
                <w:sz w:val="18"/>
              </w:rPr>
              <w:t xml:space="preserve"> </w:t>
            </w:r>
            <w:r>
              <w:rPr>
                <w:sz w:val="18"/>
              </w:rPr>
              <w:t>are</w:t>
            </w:r>
            <w:r>
              <w:rPr>
                <w:spacing w:val="-2"/>
                <w:sz w:val="18"/>
              </w:rPr>
              <w:t xml:space="preserve"> </w:t>
            </w:r>
            <w:r>
              <w:rPr>
                <w:sz w:val="18"/>
              </w:rPr>
              <w:t>blocked</w:t>
            </w:r>
            <w:r>
              <w:rPr>
                <w:spacing w:val="1"/>
                <w:sz w:val="18"/>
              </w:rPr>
              <w:t xml:space="preserve"> </w:t>
            </w:r>
            <w:r>
              <w:rPr>
                <w:sz w:val="18"/>
              </w:rPr>
              <w:t>open</w:t>
            </w:r>
            <w:r>
              <w:rPr>
                <w:spacing w:val="1"/>
                <w:sz w:val="18"/>
              </w:rPr>
              <w:t xml:space="preserve"> </w:t>
            </w:r>
            <w:r>
              <w:rPr>
                <w:sz w:val="18"/>
              </w:rPr>
              <w:t>with</w:t>
            </w:r>
            <w:r>
              <w:rPr>
                <w:spacing w:val="-2"/>
                <w:sz w:val="18"/>
              </w:rPr>
              <w:t xml:space="preserve"> </w:t>
            </w:r>
            <w:r>
              <w:rPr>
                <w:sz w:val="18"/>
              </w:rPr>
              <w:t>stops</w:t>
            </w:r>
            <w:r>
              <w:rPr>
                <w:spacing w:val="-1"/>
                <w:sz w:val="18"/>
              </w:rPr>
              <w:t xml:space="preserve"> </w:t>
            </w:r>
            <w:r>
              <w:rPr>
                <w:sz w:val="18"/>
              </w:rPr>
              <w:t>that will</w:t>
            </w:r>
            <w:r>
              <w:rPr>
                <w:spacing w:val="-2"/>
                <w:sz w:val="18"/>
              </w:rPr>
              <w:t xml:space="preserve"> </w:t>
            </w:r>
            <w:r>
              <w:rPr>
                <w:sz w:val="18"/>
              </w:rPr>
              <w:t>not</w:t>
            </w:r>
            <w:r>
              <w:rPr>
                <w:spacing w:val="-2"/>
                <w:sz w:val="18"/>
              </w:rPr>
              <w:t xml:space="preserve"> </w:t>
            </w:r>
            <w:r>
              <w:rPr>
                <w:sz w:val="18"/>
              </w:rPr>
              <w:t>damage</w:t>
            </w:r>
            <w:r>
              <w:rPr>
                <w:spacing w:val="1"/>
                <w:sz w:val="18"/>
              </w:rPr>
              <w:t xml:space="preserve"> </w:t>
            </w:r>
            <w:r>
              <w:rPr>
                <w:sz w:val="18"/>
              </w:rPr>
              <w:t>any</w:t>
            </w:r>
            <w:r>
              <w:rPr>
                <w:spacing w:val="1"/>
                <w:sz w:val="18"/>
              </w:rPr>
              <w:t xml:space="preserve"> </w:t>
            </w:r>
            <w:r>
              <w:rPr>
                <w:sz w:val="18"/>
              </w:rPr>
              <w:t>wood,</w:t>
            </w:r>
            <w:r>
              <w:rPr>
                <w:spacing w:val="-2"/>
                <w:sz w:val="18"/>
              </w:rPr>
              <w:t xml:space="preserve"> </w:t>
            </w:r>
            <w:r>
              <w:rPr>
                <w:sz w:val="18"/>
              </w:rPr>
              <w:t>metal</w:t>
            </w:r>
            <w:r>
              <w:rPr>
                <w:spacing w:val="1"/>
                <w:sz w:val="18"/>
              </w:rPr>
              <w:t xml:space="preserve"> </w:t>
            </w:r>
            <w:r>
              <w:rPr>
                <w:sz w:val="18"/>
              </w:rPr>
              <w:t>trim,</w:t>
            </w:r>
            <w:r>
              <w:rPr>
                <w:spacing w:val="-2"/>
                <w:sz w:val="18"/>
              </w:rPr>
              <w:t xml:space="preserve"> </w:t>
            </w:r>
            <w:r>
              <w:rPr>
                <w:sz w:val="18"/>
              </w:rPr>
              <w:t>glass</w:t>
            </w:r>
            <w:r>
              <w:rPr>
                <w:spacing w:val="1"/>
                <w:sz w:val="18"/>
              </w:rPr>
              <w:t xml:space="preserve"> </w:t>
            </w:r>
            <w:r>
              <w:rPr>
                <w:sz w:val="18"/>
              </w:rPr>
              <w:t>or</w:t>
            </w:r>
            <w:r>
              <w:rPr>
                <w:spacing w:val="1"/>
                <w:sz w:val="18"/>
              </w:rPr>
              <w:t xml:space="preserve"> </w:t>
            </w:r>
            <w:r>
              <w:rPr>
                <w:spacing w:val="-2"/>
                <w:sz w:val="18"/>
              </w:rPr>
              <w:t>pulls.</w:t>
            </w:r>
          </w:p>
          <w:p w:rsidR="00702852" w:rsidRDefault="00000000">
            <w:pPr>
              <w:pStyle w:val="TableParagraph"/>
              <w:numPr>
                <w:ilvl w:val="1"/>
                <w:numId w:val="2"/>
              </w:numPr>
              <w:tabs>
                <w:tab w:val="left" w:pos="871"/>
              </w:tabs>
              <w:spacing w:before="75"/>
              <w:ind w:right="303"/>
              <w:jc w:val="both"/>
              <w:rPr>
                <w:sz w:val="18"/>
              </w:rPr>
            </w:pPr>
            <w:r>
              <w:rPr>
                <w:sz w:val="18"/>
              </w:rPr>
              <w:t xml:space="preserve">The Property, streets and sidewalks are kept clean of debris caused by the process, and all protective materials and waste are removed from the </w:t>
            </w:r>
            <w:proofErr w:type="gramStart"/>
            <w:r>
              <w:rPr>
                <w:sz w:val="18"/>
              </w:rPr>
              <w:t>Building</w:t>
            </w:r>
            <w:proofErr w:type="gramEnd"/>
            <w:r>
              <w:rPr>
                <w:sz w:val="18"/>
              </w:rPr>
              <w:t xml:space="preserve"> on the same day.</w:t>
            </w:r>
            <w:r>
              <w:rPr>
                <w:spacing w:val="40"/>
                <w:sz w:val="18"/>
              </w:rPr>
              <w:t xml:space="preserve"> </w:t>
            </w:r>
            <w:r>
              <w:rPr>
                <w:sz w:val="18"/>
              </w:rPr>
              <w:t>The Tenant agrees to pay reasonable charges for the clean-up and disposal of any materials left behind.</w:t>
            </w:r>
          </w:p>
          <w:p w:rsidR="00702852" w:rsidRDefault="00000000">
            <w:pPr>
              <w:pStyle w:val="TableParagraph"/>
              <w:numPr>
                <w:ilvl w:val="1"/>
                <w:numId w:val="2"/>
              </w:numPr>
              <w:tabs>
                <w:tab w:val="left" w:pos="871"/>
              </w:tabs>
              <w:spacing w:before="80"/>
              <w:ind w:right="282"/>
              <w:jc w:val="both"/>
              <w:rPr>
                <w:sz w:val="18"/>
              </w:rPr>
            </w:pPr>
            <w:r>
              <w:rPr>
                <w:sz w:val="18"/>
              </w:rPr>
              <w:t>All necessary safety precautions are taken and all applicable provisions of federal, state, and local safety laws, including those with respect to occupational health and safety, the handling and storage of hazardous materials, accident prevention, safety equipment and practices, are all fully complied with, all to prevent accident or injury to persons on, about or adjacent to any Building.</w:t>
            </w:r>
          </w:p>
          <w:p w:rsidR="00702852" w:rsidRDefault="00000000">
            <w:pPr>
              <w:pStyle w:val="TableParagraph"/>
              <w:numPr>
                <w:ilvl w:val="1"/>
                <w:numId w:val="2"/>
              </w:numPr>
              <w:tabs>
                <w:tab w:val="left" w:pos="871"/>
              </w:tabs>
              <w:spacing w:before="78"/>
              <w:ind w:right="303"/>
              <w:jc w:val="both"/>
              <w:rPr>
                <w:sz w:val="18"/>
              </w:rPr>
            </w:pPr>
            <w:r>
              <w:rPr>
                <w:sz w:val="18"/>
              </w:rPr>
              <w:t xml:space="preserve">Employees and agents of the Tenant and the moving company comply with all of rules of the </w:t>
            </w:r>
            <w:proofErr w:type="gramStart"/>
            <w:r>
              <w:rPr>
                <w:sz w:val="18"/>
              </w:rPr>
              <w:t>Building</w:t>
            </w:r>
            <w:proofErr w:type="gramEnd"/>
            <w:r>
              <w:rPr>
                <w:sz w:val="18"/>
              </w:rPr>
              <w:t xml:space="preserve"> (which are available from the Building Management), as well as any instructions of Building Management.</w:t>
            </w:r>
          </w:p>
          <w:p w:rsidR="00702852" w:rsidRDefault="00000000">
            <w:pPr>
              <w:pStyle w:val="TableParagraph"/>
              <w:numPr>
                <w:ilvl w:val="1"/>
                <w:numId w:val="2"/>
              </w:numPr>
              <w:tabs>
                <w:tab w:val="left" w:pos="871"/>
              </w:tabs>
              <w:spacing w:before="79"/>
              <w:ind w:right="272"/>
              <w:jc w:val="both"/>
              <w:rPr>
                <w:sz w:val="18"/>
              </w:rPr>
            </w:pPr>
            <w:r>
              <w:rPr>
                <w:sz w:val="18"/>
              </w:rPr>
              <w:t>Employees and agents of the Tenant do not (</w:t>
            </w:r>
            <w:proofErr w:type="spellStart"/>
            <w:r>
              <w:rPr>
                <w:sz w:val="18"/>
              </w:rPr>
              <w:t>i</w:t>
            </w:r>
            <w:proofErr w:type="spellEnd"/>
            <w:r>
              <w:rPr>
                <w:sz w:val="18"/>
              </w:rPr>
              <w:t xml:space="preserve">) unreasonably disturb the occupants of any Building or any other building or their property; (ii) violate the confidentiality of any occupant’s business; or (iii) without express permission, use computers, copiers, radios, telephones or other equipment or facilities of any person in the </w:t>
            </w:r>
            <w:proofErr w:type="gramStart"/>
            <w:r>
              <w:rPr>
                <w:sz w:val="18"/>
              </w:rPr>
              <w:t>Building</w:t>
            </w:r>
            <w:proofErr w:type="gramEnd"/>
            <w:r>
              <w:rPr>
                <w:sz w:val="18"/>
              </w:rPr>
              <w:t>.</w:t>
            </w:r>
          </w:p>
          <w:p w:rsidR="00702852" w:rsidRDefault="00702852">
            <w:pPr>
              <w:pStyle w:val="TableParagraph"/>
              <w:spacing w:before="9"/>
              <w:rPr>
                <w:rFonts w:ascii="Times New Roman"/>
                <w:sz w:val="25"/>
              </w:rPr>
            </w:pPr>
          </w:p>
          <w:p w:rsidR="00702852" w:rsidRDefault="00000000">
            <w:pPr>
              <w:pStyle w:val="TableParagraph"/>
              <w:numPr>
                <w:ilvl w:val="0"/>
                <w:numId w:val="2"/>
              </w:numPr>
              <w:tabs>
                <w:tab w:val="left" w:pos="557"/>
              </w:tabs>
              <w:spacing w:before="1"/>
              <w:ind w:right="281" w:hanging="2"/>
              <w:jc w:val="both"/>
              <w:rPr>
                <w:sz w:val="18"/>
              </w:rPr>
            </w:pPr>
            <w:r>
              <w:rPr>
                <w:b/>
                <w:sz w:val="18"/>
              </w:rPr>
              <w:t xml:space="preserve">Insurance Requirements. </w:t>
            </w:r>
            <w:r>
              <w:rPr>
                <w:sz w:val="18"/>
              </w:rPr>
              <w:t>The Building Access Form must include a Certificate of Insurance before it can be approved. The Certificate must show broad form Commercial General Liability Insurance on an “occurrence” basis for bodily injury, death and property damage liability with a combined single limit of not less than One Million Dollars ($1,000,000.00) per occurrence and Two Million Dollars ($2,000,000.00) in aggregate; as required by the laws of Hawaii.</w:t>
            </w:r>
            <w:r>
              <w:rPr>
                <w:spacing w:val="40"/>
                <w:sz w:val="18"/>
              </w:rPr>
              <w:t xml:space="preserve"> </w:t>
            </w:r>
            <w:r>
              <w:rPr>
                <w:sz w:val="18"/>
              </w:rPr>
              <w:t>Please remember that these amounts do not limit the responsibility of the moving company or the Tenant, so please consider whether higher limits are appropriate. Bishop Square, Douglas Emmett 2010, LLC, Douglas Emmett, Inc., Douglas Emmett Properties, LP, Douglas Emmett Management, Inc., Douglas Emmett Management, LLC and Douglas Emmett Management Hawaii, LLC must be named as additional insured by endorsement on the insurance policy.</w:t>
            </w:r>
          </w:p>
          <w:p w:rsidR="00702852" w:rsidRDefault="00702852">
            <w:pPr>
              <w:pStyle w:val="TableParagraph"/>
              <w:rPr>
                <w:rFonts w:ascii="Times New Roman"/>
                <w:sz w:val="20"/>
              </w:rPr>
            </w:pPr>
          </w:p>
          <w:p w:rsidR="00702852" w:rsidRDefault="00702852">
            <w:pPr>
              <w:pStyle w:val="TableParagraph"/>
              <w:rPr>
                <w:rFonts w:ascii="Times New Roman"/>
                <w:sz w:val="20"/>
              </w:rPr>
            </w:pPr>
          </w:p>
          <w:p w:rsidR="00702852" w:rsidRDefault="00702852">
            <w:pPr>
              <w:pStyle w:val="TableParagraph"/>
              <w:rPr>
                <w:rFonts w:ascii="Times New Roman"/>
                <w:sz w:val="20"/>
              </w:rPr>
            </w:pPr>
          </w:p>
          <w:p w:rsidR="00702852" w:rsidRDefault="00000000">
            <w:pPr>
              <w:pStyle w:val="TableParagraph"/>
              <w:spacing w:before="141" w:line="192" w:lineRule="exact"/>
              <w:ind w:left="1670" w:right="1641"/>
              <w:jc w:val="center"/>
              <w:rPr>
                <w:sz w:val="18"/>
              </w:rPr>
            </w:pPr>
            <w:r>
              <w:rPr>
                <w:sz w:val="18"/>
              </w:rPr>
              <w:t>If</w:t>
            </w:r>
            <w:r>
              <w:rPr>
                <w:spacing w:val="-2"/>
                <w:sz w:val="18"/>
              </w:rPr>
              <w:t xml:space="preserve"> </w:t>
            </w:r>
            <w:r>
              <w:rPr>
                <w:sz w:val="18"/>
              </w:rPr>
              <w:t>you</w:t>
            </w:r>
            <w:r>
              <w:rPr>
                <w:spacing w:val="-1"/>
                <w:sz w:val="18"/>
              </w:rPr>
              <w:t xml:space="preserve"> </w:t>
            </w:r>
            <w:r>
              <w:rPr>
                <w:sz w:val="18"/>
              </w:rPr>
              <w:t>have</w:t>
            </w:r>
            <w:r>
              <w:rPr>
                <w:spacing w:val="-4"/>
                <w:sz w:val="18"/>
              </w:rPr>
              <w:t xml:space="preserve"> </w:t>
            </w:r>
            <w:r>
              <w:rPr>
                <w:sz w:val="18"/>
              </w:rPr>
              <w:t>any</w:t>
            </w:r>
            <w:r>
              <w:rPr>
                <w:spacing w:val="-2"/>
                <w:sz w:val="18"/>
              </w:rPr>
              <w:t xml:space="preserve"> </w:t>
            </w:r>
            <w:r>
              <w:rPr>
                <w:sz w:val="18"/>
              </w:rPr>
              <w:t>questions,</w:t>
            </w:r>
            <w:r>
              <w:rPr>
                <w:spacing w:val="-2"/>
                <w:sz w:val="18"/>
              </w:rPr>
              <w:t xml:space="preserve"> </w:t>
            </w:r>
            <w:r>
              <w:rPr>
                <w:sz w:val="18"/>
              </w:rPr>
              <w:t>please</w:t>
            </w:r>
            <w:r>
              <w:rPr>
                <w:spacing w:val="-4"/>
                <w:sz w:val="18"/>
              </w:rPr>
              <w:t xml:space="preserve"> </w:t>
            </w:r>
            <w:r>
              <w:rPr>
                <w:sz w:val="18"/>
              </w:rPr>
              <w:t>contact</w:t>
            </w:r>
            <w:r>
              <w:rPr>
                <w:spacing w:val="-3"/>
                <w:sz w:val="18"/>
              </w:rPr>
              <w:t xml:space="preserve"> </w:t>
            </w:r>
            <w:r>
              <w:rPr>
                <w:sz w:val="18"/>
              </w:rPr>
              <w:t>the</w:t>
            </w:r>
            <w:r>
              <w:rPr>
                <w:spacing w:val="-1"/>
                <w:sz w:val="18"/>
              </w:rPr>
              <w:t xml:space="preserve"> </w:t>
            </w:r>
            <w:r>
              <w:rPr>
                <w:sz w:val="18"/>
              </w:rPr>
              <w:t>Office</w:t>
            </w:r>
            <w:r>
              <w:rPr>
                <w:spacing w:val="-1"/>
                <w:sz w:val="18"/>
              </w:rPr>
              <w:t xml:space="preserve"> </w:t>
            </w:r>
            <w:r>
              <w:rPr>
                <w:sz w:val="18"/>
              </w:rPr>
              <w:t>of</w:t>
            </w:r>
            <w:r>
              <w:rPr>
                <w:spacing w:val="-2"/>
                <w:sz w:val="18"/>
              </w:rPr>
              <w:t xml:space="preserve"> </w:t>
            </w:r>
            <w:r>
              <w:rPr>
                <w:sz w:val="18"/>
              </w:rPr>
              <w:t xml:space="preserve">the </w:t>
            </w:r>
            <w:r>
              <w:rPr>
                <w:spacing w:val="-2"/>
                <w:sz w:val="18"/>
              </w:rPr>
              <w:t>Building:</w:t>
            </w:r>
          </w:p>
          <w:p w:rsidR="00702852" w:rsidRDefault="00000000">
            <w:pPr>
              <w:pStyle w:val="TableParagraph"/>
              <w:tabs>
                <w:tab w:val="left" w:pos="5603"/>
                <w:tab w:val="left" w:pos="5992"/>
              </w:tabs>
              <w:spacing w:before="9" w:line="211" w:lineRule="auto"/>
              <w:ind w:left="1672" w:right="1641"/>
              <w:jc w:val="center"/>
              <w:rPr>
                <w:sz w:val="18"/>
              </w:rPr>
            </w:pPr>
            <w:r>
              <w:rPr>
                <w:position w:val="2"/>
                <w:sz w:val="18"/>
              </w:rPr>
              <w:t>Phone: 808-545-7500</w:t>
            </w:r>
            <w:r>
              <w:rPr>
                <w:spacing w:val="40"/>
                <w:position w:val="2"/>
                <w:sz w:val="18"/>
              </w:rPr>
              <w:t xml:space="preserve"> </w:t>
            </w:r>
            <w:r>
              <w:rPr>
                <w:color w:val="3F54FF"/>
                <w:position w:val="1"/>
              </w:rPr>
              <w:t>~</w:t>
            </w:r>
            <w:r>
              <w:rPr>
                <w:color w:val="3F54FF"/>
                <w:spacing w:val="80"/>
                <w:position w:val="1"/>
              </w:rPr>
              <w:t xml:space="preserve"> </w:t>
            </w:r>
            <w:r>
              <w:rPr>
                <w:position w:val="2"/>
                <w:sz w:val="18"/>
              </w:rPr>
              <w:t>Fax: 808-523-6008</w:t>
            </w:r>
            <w:r>
              <w:rPr>
                <w:position w:val="2"/>
                <w:sz w:val="18"/>
              </w:rPr>
              <w:tab/>
            </w:r>
            <w:r>
              <w:rPr>
                <w:color w:val="3F54FF"/>
                <w:spacing w:val="-10"/>
              </w:rPr>
              <w:t>~</w:t>
            </w:r>
            <w:r>
              <w:rPr>
                <w:color w:val="3F54FF"/>
              </w:rPr>
              <w:tab/>
            </w:r>
            <w:r>
              <w:rPr>
                <w:position w:val="2"/>
                <w:sz w:val="18"/>
              </w:rPr>
              <w:t>Email:</w:t>
            </w:r>
            <w:r>
              <w:rPr>
                <w:spacing w:val="-13"/>
                <w:position w:val="2"/>
                <w:sz w:val="18"/>
              </w:rPr>
              <w:t xml:space="preserve"> </w:t>
            </w:r>
            <w:hyperlink r:id="rId6">
              <w:r>
                <w:rPr>
                  <w:color w:val="0000FF"/>
                  <w:position w:val="2"/>
                  <w:sz w:val="18"/>
                  <w:u w:val="single" w:color="0000FF"/>
                </w:rPr>
                <w:t>bishopsquare@douglasemmett.com</w:t>
              </w:r>
            </w:hyperlink>
            <w:r>
              <w:rPr>
                <w:color w:val="0000FF"/>
                <w:position w:val="2"/>
                <w:sz w:val="18"/>
              </w:rPr>
              <w:t xml:space="preserve"> </w:t>
            </w:r>
            <w:r>
              <w:rPr>
                <w:sz w:val="18"/>
              </w:rPr>
              <w:t>1001 Bishop Street, Suite 750, Honolulu, HI 96813</w:t>
            </w:r>
          </w:p>
          <w:p w:rsidR="00702852" w:rsidRDefault="00000000">
            <w:pPr>
              <w:pStyle w:val="TableParagraph"/>
              <w:tabs>
                <w:tab w:val="left" w:pos="9842"/>
              </w:tabs>
              <w:spacing w:before="2"/>
              <w:ind w:left="20"/>
              <w:jc w:val="center"/>
              <w:rPr>
                <w:b/>
                <w:sz w:val="16"/>
              </w:rPr>
            </w:pPr>
            <w:r>
              <w:rPr>
                <w:b/>
                <w:position w:val="3"/>
                <w:sz w:val="16"/>
              </w:rPr>
              <w:t>Page</w:t>
            </w:r>
            <w:r>
              <w:rPr>
                <w:b/>
                <w:spacing w:val="-1"/>
                <w:position w:val="3"/>
                <w:sz w:val="16"/>
              </w:rPr>
              <w:t xml:space="preserve"> </w:t>
            </w:r>
            <w:r>
              <w:rPr>
                <w:b/>
                <w:position w:val="3"/>
                <w:sz w:val="16"/>
              </w:rPr>
              <w:t>1</w:t>
            </w:r>
            <w:r>
              <w:rPr>
                <w:b/>
                <w:spacing w:val="-2"/>
                <w:position w:val="3"/>
                <w:sz w:val="16"/>
              </w:rPr>
              <w:t xml:space="preserve"> </w:t>
            </w:r>
            <w:r>
              <w:rPr>
                <w:b/>
                <w:position w:val="3"/>
                <w:sz w:val="16"/>
              </w:rPr>
              <w:t xml:space="preserve">of </w:t>
            </w:r>
            <w:r>
              <w:rPr>
                <w:b/>
                <w:spacing w:val="-10"/>
                <w:position w:val="3"/>
                <w:sz w:val="16"/>
              </w:rPr>
              <w:t>2</w:t>
            </w:r>
            <w:r>
              <w:rPr>
                <w:b/>
                <w:position w:val="3"/>
                <w:sz w:val="16"/>
              </w:rPr>
              <w:tab/>
            </w:r>
            <w:r>
              <w:rPr>
                <w:b/>
                <w:sz w:val="16"/>
              </w:rPr>
              <w:t>rev.</w:t>
            </w:r>
            <w:r>
              <w:rPr>
                <w:b/>
                <w:spacing w:val="-4"/>
                <w:sz w:val="16"/>
              </w:rPr>
              <w:t xml:space="preserve"> </w:t>
            </w:r>
            <w:r>
              <w:rPr>
                <w:b/>
                <w:spacing w:val="-2"/>
                <w:sz w:val="16"/>
              </w:rPr>
              <w:t>05/23</w:t>
            </w:r>
          </w:p>
        </w:tc>
      </w:tr>
    </w:tbl>
    <w:p w:rsidR="00702852" w:rsidRDefault="00702852">
      <w:pPr>
        <w:jc w:val="center"/>
        <w:rPr>
          <w:sz w:val="16"/>
        </w:rPr>
        <w:sectPr w:rsidR="00702852">
          <w:type w:val="continuous"/>
          <w:pgSz w:w="12240" w:h="15840"/>
          <w:pgMar w:top="540" w:right="440" w:bottom="280" w:left="440" w:header="720" w:footer="720" w:gutter="0"/>
          <w:pgBorders w:offsetFrom="page">
            <w:top w:val="single" w:sz="4" w:space="24" w:color="003366"/>
            <w:left w:val="single" w:sz="4" w:space="24" w:color="003366"/>
            <w:bottom w:val="single" w:sz="4" w:space="24" w:color="003366"/>
            <w:right w:val="single" w:sz="4" w:space="24" w:color="003366"/>
          </w:pgBorders>
          <w:cols w:space="720"/>
        </w:sectPr>
      </w:pPr>
    </w:p>
    <w:tbl>
      <w:tblPr>
        <w:tblW w:w="0" w:type="auto"/>
        <w:tblInd w:w="144" w:type="dxa"/>
        <w:tblBorders>
          <w:top w:val="single" w:sz="12" w:space="0" w:color="003366"/>
          <w:left w:val="single" w:sz="12" w:space="0" w:color="003366"/>
          <w:bottom w:val="single" w:sz="12" w:space="0" w:color="003366"/>
          <w:right w:val="single" w:sz="12" w:space="0" w:color="003366"/>
          <w:insideH w:val="single" w:sz="12" w:space="0" w:color="003366"/>
          <w:insideV w:val="single" w:sz="12" w:space="0" w:color="003366"/>
        </w:tblBorders>
        <w:tblLayout w:type="fixed"/>
        <w:tblCellMar>
          <w:left w:w="0" w:type="dxa"/>
          <w:right w:w="0" w:type="dxa"/>
        </w:tblCellMar>
        <w:tblLook w:val="01E0" w:firstRow="1" w:lastRow="1" w:firstColumn="1" w:lastColumn="1" w:noHBand="0" w:noVBand="0"/>
      </w:tblPr>
      <w:tblGrid>
        <w:gridCol w:w="2635"/>
        <w:gridCol w:w="8467"/>
      </w:tblGrid>
      <w:tr w:rsidR="00702852">
        <w:trPr>
          <w:trHeight w:val="553"/>
        </w:trPr>
        <w:tc>
          <w:tcPr>
            <w:tcW w:w="2635" w:type="dxa"/>
            <w:vMerge w:val="restart"/>
            <w:tcBorders>
              <w:bottom w:val="single" w:sz="6" w:space="0" w:color="000000"/>
              <w:right w:val="nil"/>
            </w:tcBorders>
          </w:tcPr>
          <w:p w:rsidR="00702852" w:rsidRDefault="00702852">
            <w:pPr>
              <w:pStyle w:val="TableParagraph"/>
              <w:spacing w:before="3"/>
              <w:rPr>
                <w:rFonts w:ascii="Times New Roman"/>
                <w:sz w:val="21"/>
              </w:rPr>
            </w:pPr>
          </w:p>
          <w:p w:rsidR="00702852" w:rsidRDefault="00000000">
            <w:pPr>
              <w:pStyle w:val="TableParagraph"/>
              <w:ind w:left="332"/>
              <w:rPr>
                <w:rFonts w:ascii="Times New Roman"/>
                <w:sz w:val="20"/>
              </w:rPr>
            </w:pPr>
            <w:r>
              <w:rPr>
                <w:rFonts w:ascii="Times New Roman"/>
                <w:noProof/>
                <w:sz w:val="20"/>
              </w:rPr>
              <w:drawing>
                <wp:inline distT="0" distB="0" distL="0" distR="0">
                  <wp:extent cx="1236922" cy="565784"/>
                  <wp:effectExtent l="0" t="0" r="0" b="0"/>
                  <wp:docPr id="3" name="image1.jpeg" descr="P28C1T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1236922" cy="565784"/>
                          </a:xfrm>
                          <a:prstGeom prst="rect">
                            <a:avLst/>
                          </a:prstGeom>
                        </pic:spPr>
                      </pic:pic>
                    </a:graphicData>
                  </a:graphic>
                </wp:inline>
              </w:drawing>
            </w:r>
          </w:p>
        </w:tc>
        <w:tc>
          <w:tcPr>
            <w:tcW w:w="8467" w:type="dxa"/>
            <w:tcBorders>
              <w:left w:val="nil"/>
              <w:bottom w:val="nil"/>
            </w:tcBorders>
            <w:shd w:val="clear" w:color="auto" w:fill="003366"/>
          </w:tcPr>
          <w:p w:rsidR="00702852" w:rsidRDefault="00000000">
            <w:pPr>
              <w:pStyle w:val="TableParagraph"/>
              <w:spacing w:before="89"/>
              <w:ind w:right="318"/>
              <w:jc w:val="right"/>
              <w:rPr>
                <w:b/>
                <w:sz w:val="36"/>
              </w:rPr>
            </w:pPr>
            <w:r>
              <w:rPr>
                <w:b/>
                <w:color w:val="FFFFFF"/>
                <w:sz w:val="36"/>
              </w:rPr>
              <w:t>MOVING/DELIVERY</w:t>
            </w:r>
            <w:r>
              <w:rPr>
                <w:b/>
                <w:color w:val="FFFFFF"/>
                <w:spacing w:val="-5"/>
                <w:sz w:val="36"/>
              </w:rPr>
              <w:t xml:space="preserve"> </w:t>
            </w:r>
            <w:r>
              <w:rPr>
                <w:b/>
                <w:color w:val="FFFFFF"/>
                <w:spacing w:val="-2"/>
                <w:sz w:val="36"/>
              </w:rPr>
              <w:t>POLICY</w:t>
            </w:r>
          </w:p>
        </w:tc>
      </w:tr>
      <w:tr w:rsidR="00702852">
        <w:trPr>
          <w:trHeight w:val="647"/>
        </w:trPr>
        <w:tc>
          <w:tcPr>
            <w:tcW w:w="2635" w:type="dxa"/>
            <w:vMerge/>
            <w:tcBorders>
              <w:top w:val="nil"/>
              <w:bottom w:val="single" w:sz="6" w:space="0" w:color="000000"/>
              <w:right w:val="nil"/>
            </w:tcBorders>
          </w:tcPr>
          <w:p w:rsidR="00702852" w:rsidRDefault="00702852">
            <w:pPr>
              <w:rPr>
                <w:sz w:val="2"/>
                <w:szCs w:val="2"/>
              </w:rPr>
            </w:pPr>
          </w:p>
        </w:tc>
        <w:tc>
          <w:tcPr>
            <w:tcW w:w="8467" w:type="dxa"/>
            <w:tcBorders>
              <w:top w:val="nil"/>
              <w:left w:val="single" w:sz="6" w:space="0" w:color="003366"/>
              <w:bottom w:val="single" w:sz="6" w:space="0" w:color="003366"/>
            </w:tcBorders>
          </w:tcPr>
          <w:p w:rsidR="00702852" w:rsidRDefault="00000000">
            <w:pPr>
              <w:pStyle w:val="TableParagraph"/>
              <w:spacing w:before="113"/>
              <w:ind w:right="317"/>
              <w:jc w:val="right"/>
              <w:rPr>
                <w:b/>
                <w:sz w:val="36"/>
              </w:rPr>
            </w:pPr>
            <w:r>
              <w:rPr>
                <w:b/>
                <w:sz w:val="36"/>
              </w:rPr>
              <w:t>Bishop</w:t>
            </w:r>
            <w:r>
              <w:rPr>
                <w:b/>
                <w:spacing w:val="-2"/>
                <w:sz w:val="36"/>
              </w:rPr>
              <w:t xml:space="preserve"> Square</w:t>
            </w:r>
          </w:p>
        </w:tc>
      </w:tr>
      <w:tr w:rsidR="00702852">
        <w:trPr>
          <w:trHeight w:val="13441"/>
        </w:trPr>
        <w:tc>
          <w:tcPr>
            <w:tcW w:w="11102" w:type="dxa"/>
            <w:gridSpan w:val="2"/>
            <w:tcBorders>
              <w:top w:val="single" w:sz="6" w:space="0" w:color="003366"/>
            </w:tcBorders>
          </w:tcPr>
          <w:p w:rsidR="00702852" w:rsidRDefault="00702852">
            <w:pPr>
              <w:pStyle w:val="TableParagraph"/>
              <w:rPr>
                <w:rFonts w:ascii="Times New Roman"/>
                <w:sz w:val="20"/>
              </w:rPr>
            </w:pPr>
          </w:p>
          <w:p w:rsidR="00702852" w:rsidRDefault="00702852">
            <w:pPr>
              <w:pStyle w:val="TableParagraph"/>
              <w:spacing w:before="8"/>
              <w:rPr>
                <w:rFonts w:ascii="Times New Roman"/>
                <w:sz w:val="18"/>
              </w:rPr>
            </w:pPr>
          </w:p>
          <w:p w:rsidR="00702852" w:rsidRDefault="00000000">
            <w:pPr>
              <w:pStyle w:val="TableParagraph"/>
              <w:numPr>
                <w:ilvl w:val="0"/>
                <w:numId w:val="1"/>
              </w:numPr>
              <w:tabs>
                <w:tab w:val="left" w:pos="528"/>
              </w:tabs>
              <w:ind w:right="357" w:firstLine="0"/>
              <w:jc w:val="both"/>
              <w:rPr>
                <w:sz w:val="18"/>
              </w:rPr>
            </w:pPr>
            <w:r>
              <w:rPr>
                <w:b/>
                <w:sz w:val="18"/>
              </w:rPr>
              <w:t>Damage.</w:t>
            </w:r>
            <w:r>
              <w:rPr>
                <w:b/>
                <w:spacing w:val="40"/>
                <w:sz w:val="18"/>
              </w:rPr>
              <w:t xml:space="preserve"> </w:t>
            </w:r>
            <w:r>
              <w:rPr>
                <w:sz w:val="18"/>
              </w:rPr>
              <w:t>The Tenant and</w:t>
            </w:r>
            <w:r>
              <w:rPr>
                <w:spacing w:val="-4"/>
                <w:sz w:val="18"/>
              </w:rPr>
              <w:t xml:space="preserve"> </w:t>
            </w:r>
            <w:r>
              <w:rPr>
                <w:sz w:val="18"/>
              </w:rPr>
              <w:t>the</w:t>
            </w:r>
            <w:r>
              <w:rPr>
                <w:spacing w:val="-1"/>
                <w:sz w:val="18"/>
              </w:rPr>
              <w:t xml:space="preserve"> </w:t>
            </w:r>
            <w:r>
              <w:rPr>
                <w:sz w:val="18"/>
              </w:rPr>
              <w:t>moving</w:t>
            </w:r>
            <w:r>
              <w:rPr>
                <w:spacing w:val="-1"/>
                <w:sz w:val="18"/>
              </w:rPr>
              <w:t xml:space="preserve"> </w:t>
            </w:r>
            <w:r>
              <w:rPr>
                <w:sz w:val="18"/>
              </w:rPr>
              <w:t>company</w:t>
            </w:r>
            <w:r>
              <w:rPr>
                <w:spacing w:val="-1"/>
                <w:sz w:val="18"/>
              </w:rPr>
              <w:t xml:space="preserve"> </w:t>
            </w:r>
            <w:r>
              <w:rPr>
                <w:sz w:val="18"/>
              </w:rPr>
              <w:t>shall</w:t>
            </w:r>
            <w:r>
              <w:rPr>
                <w:spacing w:val="-1"/>
                <w:sz w:val="18"/>
              </w:rPr>
              <w:t xml:space="preserve"> </w:t>
            </w:r>
            <w:r>
              <w:rPr>
                <w:sz w:val="18"/>
              </w:rPr>
              <w:t>each be</w:t>
            </w:r>
            <w:r>
              <w:rPr>
                <w:spacing w:val="-1"/>
                <w:sz w:val="18"/>
              </w:rPr>
              <w:t xml:space="preserve"> </w:t>
            </w:r>
            <w:r>
              <w:rPr>
                <w:sz w:val="18"/>
              </w:rPr>
              <w:t>responsible</w:t>
            </w:r>
            <w:r>
              <w:rPr>
                <w:spacing w:val="-1"/>
                <w:sz w:val="18"/>
              </w:rPr>
              <w:t xml:space="preserve"> </w:t>
            </w:r>
            <w:r>
              <w:rPr>
                <w:sz w:val="18"/>
              </w:rPr>
              <w:t>for</w:t>
            </w:r>
            <w:r>
              <w:rPr>
                <w:spacing w:val="-2"/>
                <w:sz w:val="18"/>
              </w:rPr>
              <w:t xml:space="preserve"> </w:t>
            </w:r>
            <w:r>
              <w:rPr>
                <w:sz w:val="18"/>
              </w:rPr>
              <w:t>all</w:t>
            </w:r>
            <w:r>
              <w:rPr>
                <w:spacing w:val="-1"/>
                <w:sz w:val="18"/>
              </w:rPr>
              <w:t xml:space="preserve"> </w:t>
            </w:r>
            <w:r>
              <w:rPr>
                <w:sz w:val="18"/>
              </w:rPr>
              <w:t>damages</w:t>
            </w:r>
            <w:r>
              <w:rPr>
                <w:spacing w:val="-1"/>
                <w:sz w:val="18"/>
              </w:rPr>
              <w:t xml:space="preserve"> </w:t>
            </w:r>
            <w:r>
              <w:rPr>
                <w:sz w:val="18"/>
              </w:rPr>
              <w:t>and</w:t>
            </w:r>
            <w:r>
              <w:rPr>
                <w:spacing w:val="-1"/>
                <w:sz w:val="18"/>
              </w:rPr>
              <w:t xml:space="preserve"> </w:t>
            </w:r>
            <w:r>
              <w:rPr>
                <w:sz w:val="18"/>
              </w:rPr>
              <w:t>losses</w:t>
            </w:r>
            <w:r>
              <w:rPr>
                <w:spacing w:val="-1"/>
                <w:sz w:val="18"/>
              </w:rPr>
              <w:t xml:space="preserve"> </w:t>
            </w:r>
            <w:r>
              <w:rPr>
                <w:sz w:val="18"/>
              </w:rPr>
              <w:t xml:space="preserve">sustained by the </w:t>
            </w:r>
            <w:proofErr w:type="gramStart"/>
            <w:r>
              <w:rPr>
                <w:sz w:val="18"/>
              </w:rPr>
              <w:t>Building</w:t>
            </w:r>
            <w:proofErr w:type="gramEnd"/>
            <w:r>
              <w:rPr>
                <w:sz w:val="18"/>
              </w:rPr>
              <w:t xml:space="preserve"> or any other tenant as a result of the move/delivery, including but not limited to the damage to the garage, loading dock, elevators and building corridors.</w:t>
            </w:r>
            <w:r>
              <w:rPr>
                <w:spacing w:val="40"/>
                <w:sz w:val="18"/>
              </w:rPr>
              <w:t xml:space="preserve"> </w:t>
            </w:r>
            <w:r>
              <w:rPr>
                <w:sz w:val="18"/>
              </w:rPr>
              <w:t>If any damage occurs, Building Management will have the right to fix or replace the damaged item at the Tenant’s sole cost and expense.</w:t>
            </w:r>
          </w:p>
          <w:p w:rsidR="00702852" w:rsidRDefault="00702852">
            <w:pPr>
              <w:pStyle w:val="TableParagraph"/>
              <w:spacing w:before="10"/>
              <w:rPr>
                <w:rFonts w:ascii="Times New Roman"/>
                <w:sz w:val="20"/>
              </w:rPr>
            </w:pPr>
          </w:p>
          <w:p w:rsidR="00702852" w:rsidRDefault="00000000">
            <w:pPr>
              <w:pStyle w:val="TableParagraph"/>
              <w:numPr>
                <w:ilvl w:val="0"/>
                <w:numId w:val="1"/>
              </w:numPr>
              <w:tabs>
                <w:tab w:val="left" w:pos="537"/>
              </w:tabs>
              <w:ind w:right="355" w:firstLine="0"/>
              <w:jc w:val="both"/>
              <w:rPr>
                <w:sz w:val="18"/>
              </w:rPr>
            </w:pPr>
            <w:r>
              <w:rPr>
                <w:b/>
                <w:sz w:val="18"/>
              </w:rPr>
              <w:t>Indemnity</w:t>
            </w:r>
            <w:r>
              <w:rPr>
                <w:sz w:val="18"/>
              </w:rPr>
              <w:t>.</w:t>
            </w:r>
            <w:r>
              <w:rPr>
                <w:spacing w:val="40"/>
                <w:sz w:val="18"/>
              </w:rPr>
              <w:t xml:space="preserve"> </w:t>
            </w:r>
            <w:r>
              <w:rPr>
                <w:sz w:val="18"/>
              </w:rPr>
              <w:t>The Tenant and the moving company each agree to indemnify, defend, protect, and hold harmless Purchaser and the other parties required above to be covered by insurance, and each of their respective lenders, partners, officers, members, managers, directors, agents and employees (collectively, “Indemnitees”), from and against</w:t>
            </w:r>
            <w:r>
              <w:rPr>
                <w:spacing w:val="-2"/>
                <w:sz w:val="18"/>
              </w:rPr>
              <w:t xml:space="preserve"> </w:t>
            </w:r>
            <w:r>
              <w:rPr>
                <w:sz w:val="18"/>
              </w:rPr>
              <w:t>any and all claims, demands,</w:t>
            </w:r>
            <w:r>
              <w:rPr>
                <w:spacing w:val="-2"/>
                <w:sz w:val="18"/>
              </w:rPr>
              <w:t xml:space="preserve"> </w:t>
            </w:r>
            <w:r>
              <w:rPr>
                <w:sz w:val="18"/>
              </w:rPr>
              <w:t>damages, losses, lawsuits and other proceedings, judgments, causes of action, liabilities, claims of lien, liens, civil or criminal penalties and charges, lost rent, emotional or bodily injuries or death, property damage, costs and expenses (including attorney’s fees) (collectively “Claims”) to the extent in any way arising from (</w:t>
            </w:r>
            <w:proofErr w:type="spellStart"/>
            <w:r>
              <w:rPr>
                <w:sz w:val="18"/>
              </w:rPr>
              <w:t>i</w:t>
            </w:r>
            <w:proofErr w:type="spellEnd"/>
            <w:r>
              <w:rPr>
                <w:sz w:val="18"/>
              </w:rPr>
              <w:t>) any alleged act, omission or error of Tenant and/or the moving company, or any of its respective partners, officers, agents or employees, in connection with the move/delivery, or (ii) any damage or injury of any kind or</w:t>
            </w:r>
            <w:r>
              <w:rPr>
                <w:spacing w:val="-1"/>
                <w:sz w:val="18"/>
              </w:rPr>
              <w:t xml:space="preserve"> </w:t>
            </w:r>
            <w:r>
              <w:rPr>
                <w:sz w:val="18"/>
              </w:rPr>
              <w:t>nature whatever (including death resulting therefrom) to any person, whether</w:t>
            </w:r>
            <w:r>
              <w:rPr>
                <w:spacing w:val="-1"/>
                <w:sz w:val="18"/>
              </w:rPr>
              <w:t xml:space="preserve"> </w:t>
            </w:r>
            <w:r>
              <w:rPr>
                <w:sz w:val="18"/>
              </w:rPr>
              <w:t>an employee of Tenant and/or the moving company or otherwise, or to any property (including loss of use thereof) caused by, resulting from, arising out of, or occurring in connection with the move/delivery, except in each case only to the extent the Claim arises from the gross negligence</w:t>
            </w:r>
            <w:r>
              <w:rPr>
                <w:spacing w:val="40"/>
                <w:sz w:val="18"/>
              </w:rPr>
              <w:t xml:space="preserve"> </w:t>
            </w:r>
            <w:r>
              <w:rPr>
                <w:sz w:val="18"/>
              </w:rPr>
              <w:t>of that indemnified party.</w:t>
            </w:r>
            <w:r>
              <w:rPr>
                <w:spacing w:val="40"/>
                <w:sz w:val="18"/>
              </w:rPr>
              <w:t xml:space="preserve"> </w:t>
            </w:r>
            <w:r>
              <w:rPr>
                <w:sz w:val="18"/>
              </w:rPr>
              <w:t>Building Management shall have the right to select and direct the legal counsel to defend any Indemnitees, subject to the Tenant’s reasonable approval, and the Tenant and moving company shall reasonably cooperate with Building Management and that counsel in the investigation and defense of any such Claim.</w:t>
            </w:r>
            <w:r>
              <w:rPr>
                <w:spacing w:val="40"/>
                <w:sz w:val="18"/>
              </w:rPr>
              <w:t xml:space="preserve"> </w:t>
            </w:r>
            <w:r>
              <w:rPr>
                <w:sz w:val="18"/>
              </w:rPr>
              <w:t>The obligations in this Section are in addition to any other obligations of Tenant that otherwise exist.</w:t>
            </w:r>
          </w:p>
          <w:p w:rsidR="00702852" w:rsidRDefault="00702852">
            <w:pPr>
              <w:pStyle w:val="TableParagraph"/>
              <w:spacing w:before="1"/>
              <w:rPr>
                <w:rFonts w:ascii="Times New Roman"/>
                <w:sz w:val="21"/>
              </w:rPr>
            </w:pPr>
          </w:p>
          <w:p w:rsidR="00702852" w:rsidRDefault="00000000">
            <w:pPr>
              <w:pStyle w:val="TableParagraph"/>
              <w:ind w:left="270" w:right="356"/>
              <w:jc w:val="both"/>
              <w:rPr>
                <w:sz w:val="18"/>
              </w:rPr>
            </w:pPr>
            <w:r>
              <w:rPr>
                <w:sz w:val="18"/>
              </w:rPr>
              <w:t>These rules and regulations may be changed by Building Management at any time.</w:t>
            </w:r>
            <w:r>
              <w:rPr>
                <w:spacing w:val="40"/>
                <w:sz w:val="18"/>
              </w:rPr>
              <w:t xml:space="preserve"> </w:t>
            </w:r>
            <w:r>
              <w:rPr>
                <w:sz w:val="18"/>
              </w:rPr>
              <w:t>Building Management will have full power to interpret, amend and enforce all of these policies, and the Tenant and moving company agree to comply with all reasonable instructions of Building Management.</w:t>
            </w:r>
          </w:p>
          <w:p w:rsidR="00702852" w:rsidRDefault="00702852">
            <w:pPr>
              <w:pStyle w:val="TableParagraph"/>
              <w:spacing w:before="9"/>
              <w:rPr>
                <w:rFonts w:ascii="Times New Roman"/>
                <w:sz w:val="20"/>
              </w:rPr>
            </w:pPr>
          </w:p>
          <w:p w:rsidR="00702852" w:rsidRDefault="00000000">
            <w:pPr>
              <w:pStyle w:val="TableParagraph"/>
              <w:spacing w:before="1"/>
              <w:ind w:left="2205" w:right="2296"/>
              <w:jc w:val="center"/>
              <w:rPr>
                <w:b/>
                <w:sz w:val="18"/>
              </w:rPr>
            </w:pPr>
            <w:r>
              <w:rPr>
                <w:b/>
                <w:color w:val="FF0000"/>
                <w:spacing w:val="-2"/>
                <w:sz w:val="18"/>
              </w:rPr>
              <w:t>Failure</w:t>
            </w:r>
            <w:r>
              <w:rPr>
                <w:b/>
                <w:color w:val="FF0000"/>
                <w:spacing w:val="-5"/>
                <w:sz w:val="18"/>
              </w:rPr>
              <w:t xml:space="preserve"> </w:t>
            </w:r>
            <w:r>
              <w:rPr>
                <w:b/>
                <w:color w:val="FF0000"/>
                <w:spacing w:val="-2"/>
                <w:sz w:val="18"/>
              </w:rPr>
              <w:t>to</w:t>
            </w:r>
            <w:r>
              <w:rPr>
                <w:b/>
                <w:color w:val="FF0000"/>
                <w:spacing w:val="-6"/>
                <w:sz w:val="18"/>
              </w:rPr>
              <w:t xml:space="preserve"> </w:t>
            </w:r>
            <w:r>
              <w:rPr>
                <w:b/>
                <w:color w:val="FF0000"/>
                <w:spacing w:val="-2"/>
                <w:sz w:val="18"/>
              </w:rPr>
              <w:t>comply</w:t>
            </w:r>
            <w:r>
              <w:rPr>
                <w:b/>
                <w:color w:val="FF0000"/>
                <w:spacing w:val="-5"/>
                <w:sz w:val="18"/>
              </w:rPr>
              <w:t xml:space="preserve"> </w:t>
            </w:r>
            <w:r>
              <w:rPr>
                <w:b/>
                <w:color w:val="FF0000"/>
                <w:spacing w:val="-2"/>
                <w:sz w:val="18"/>
              </w:rPr>
              <w:t>with</w:t>
            </w:r>
            <w:r>
              <w:rPr>
                <w:b/>
                <w:color w:val="FF0000"/>
                <w:spacing w:val="-6"/>
                <w:sz w:val="18"/>
              </w:rPr>
              <w:t xml:space="preserve"> </w:t>
            </w:r>
            <w:r>
              <w:rPr>
                <w:b/>
                <w:color w:val="FF0000"/>
                <w:spacing w:val="-2"/>
                <w:sz w:val="18"/>
              </w:rPr>
              <w:t>any</w:t>
            </w:r>
            <w:r>
              <w:rPr>
                <w:b/>
                <w:color w:val="FF0000"/>
                <w:spacing w:val="-5"/>
                <w:sz w:val="18"/>
              </w:rPr>
              <w:t xml:space="preserve"> </w:t>
            </w:r>
            <w:r>
              <w:rPr>
                <w:b/>
                <w:color w:val="FF0000"/>
                <w:spacing w:val="-2"/>
                <w:sz w:val="18"/>
              </w:rPr>
              <w:t>applicable</w:t>
            </w:r>
            <w:r>
              <w:rPr>
                <w:b/>
                <w:color w:val="FF0000"/>
                <w:spacing w:val="-5"/>
                <w:sz w:val="18"/>
              </w:rPr>
              <w:t xml:space="preserve"> </w:t>
            </w:r>
            <w:r>
              <w:rPr>
                <w:b/>
                <w:color w:val="FF0000"/>
                <w:spacing w:val="-2"/>
                <w:sz w:val="18"/>
              </w:rPr>
              <w:t>rules</w:t>
            </w:r>
            <w:r>
              <w:rPr>
                <w:b/>
                <w:color w:val="FF0000"/>
                <w:spacing w:val="-3"/>
                <w:sz w:val="18"/>
              </w:rPr>
              <w:t xml:space="preserve"> </w:t>
            </w:r>
            <w:r>
              <w:rPr>
                <w:b/>
                <w:color w:val="FF0000"/>
                <w:spacing w:val="-2"/>
                <w:sz w:val="18"/>
              </w:rPr>
              <w:t>or</w:t>
            </w:r>
            <w:r>
              <w:rPr>
                <w:b/>
                <w:color w:val="FF0000"/>
                <w:spacing w:val="-5"/>
                <w:sz w:val="18"/>
              </w:rPr>
              <w:t xml:space="preserve"> </w:t>
            </w:r>
            <w:r>
              <w:rPr>
                <w:b/>
                <w:color w:val="FF0000"/>
                <w:spacing w:val="-2"/>
                <w:sz w:val="18"/>
              </w:rPr>
              <w:t>Building</w:t>
            </w:r>
            <w:r>
              <w:rPr>
                <w:b/>
                <w:color w:val="FF0000"/>
                <w:spacing w:val="-6"/>
                <w:sz w:val="18"/>
              </w:rPr>
              <w:t xml:space="preserve"> </w:t>
            </w:r>
            <w:r>
              <w:rPr>
                <w:b/>
                <w:color w:val="FF0000"/>
                <w:spacing w:val="-2"/>
                <w:sz w:val="18"/>
              </w:rPr>
              <w:t xml:space="preserve">Management directives </w:t>
            </w:r>
            <w:r>
              <w:rPr>
                <w:b/>
                <w:color w:val="FF0000"/>
                <w:sz w:val="18"/>
              </w:rPr>
              <w:t>may</w:t>
            </w:r>
            <w:r>
              <w:rPr>
                <w:b/>
                <w:color w:val="FF0000"/>
                <w:spacing w:val="-1"/>
                <w:sz w:val="18"/>
              </w:rPr>
              <w:t xml:space="preserve"> </w:t>
            </w:r>
            <w:r>
              <w:rPr>
                <w:b/>
                <w:color w:val="FF0000"/>
                <w:sz w:val="18"/>
              </w:rPr>
              <w:t>subject tenant and/or the moving company to</w:t>
            </w:r>
            <w:r>
              <w:rPr>
                <w:b/>
                <w:color w:val="FF0000"/>
                <w:spacing w:val="-2"/>
                <w:sz w:val="18"/>
              </w:rPr>
              <w:t xml:space="preserve"> </w:t>
            </w:r>
            <w:r>
              <w:rPr>
                <w:b/>
                <w:color w:val="FF0000"/>
                <w:sz w:val="18"/>
              </w:rPr>
              <w:t>liability</w:t>
            </w:r>
            <w:r>
              <w:rPr>
                <w:b/>
                <w:color w:val="FF0000"/>
                <w:spacing w:val="-1"/>
                <w:sz w:val="18"/>
              </w:rPr>
              <w:t xml:space="preserve"> </w:t>
            </w:r>
            <w:r>
              <w:rPr>
                <w:b/>
                <w:color w:val="FF0000"/>
                <w:sz w:val="18"/>
              </w:rPr>
              <w:t>for any damages.</w:t>
            </w:r>
          </w:p>
          <w:p w:rsidR="00702852" w:rsidRDefault="00702852">
            <w:pPr>
              <w:pStyle w:val="TableParagraph"/>
              <w:rPr>
                <w:rFonts w:ascii="Times New Roman"/>
                <w:sz w:val="20"/>
              </w:rPr>
            </w:pPr>
          </w:p>
          <w:p w:rsidR="00702852" w:rsidRDefault="00702852">
            <w:pPr>
              <w:pStyle w:val="TableParagraph"/>
              <w:rPr>
                <w:rFonts w:ascii="Times New Roman"/>
                <w:sz w:val="20"/>
              </w:rPr>
            </w:pPr>
          </w:p>
          <w:p w:rsidR="00702852" w:rsidRDefault="00702852">
            <w:pPr>
              <w:pStyle w:val="TableParagraph"/>
              <w:rPr>
                <w:rFonts w:ascii="Times New Roman"/>
                <w:sz w:val="20"/>
              </w:rPr>
            </w:pPr>
          </w:p>
          <w:p w:rsidR="00702852" w:rsidRDefault="00702852">
            <w:pPr>
              <w:pStyle w:val="TableParagraph"/>
              <w:rPr>
                <w:rFonts w:ascii="Times New Roman"/>
                <w:sz w:val="20"/>
              </w:rPr>
            </w:pPr>
          </w:p>
          <w:p w:rsidR="00702852" w:rsidRDefault="00702852">
            <w:pPr>
              <w:pStyle w:val="TableParagraph"/>
              <w:rPr>
                <w:rFonts w:ascii="Times New Roman"/>
                <w:sz w:val="20"/>
              </w:rPr>
            </w:pPr>
          </w:p>
          <w:p w:rsidR="00702852" w:rsidRDefault="00702852">
            <w:pPr>
              <w:pStyle w:val="TableParagraph"/>
              <w:rPr>
                <w:rFonts w:ascii="Times New Roman"/>
                <w:sz w:val="20"/>
              </w:rPr>
            </w:pPr>
          </w:p>
          <w:p w:rsidR="00702852" w:rsidRDefault="00702852">
            <w:pPr>
              <w:pStyle w:val="TableParagraph"/>
              <w:rPr>
                <w:rFonts w:ascii="Times New Roman"/>
                <w:sz w:val="20"/>
              </w:rPr>
            </w:pPr>
          </w:p>
          <w:p w:rsidR="00702852" w:rsidRDefault="00702852">
            <w:pPr>
              <w:pStyle w:val="TableParagraph"/>
              <w:rPr>
                <w:rFonts w:ascii="Times New Roman"/>
                <w:sz w:val="20"/>
              </w:rPr>
            </w:pPr>
          </w:p>
          <w:p w:rsidR="00702852" w:rsidRDefault="00702852">
            <w:pPr>
              <w:pStyle w:val="TableParagraph"/>
              <w:rPr>
                <w:rFonts w:ascii="Times New Roman"/>
                <w:sz w:val="20"/>
              </w:rPr>
            </w:pPr>
          </w:p>
          <w:p w:rsidR="00702852" w:rsidRDefault="00702852">
            <w:pPr>
              <w:pStyle w:val="TableParagraph"/>
              <w:rPr>
                <w:rFonts w:ascii="Times New Roman"/>
                <w:sz w:val="20"/>
              </w:rPr>
            </w:pPr>
          </w:p>
          <w:p w:rsidR="00702852" w:rsidRDefault="00702852">
            <w:pPr>
              <w:pStyle w:val="TableParagraph"/>
              <w:rPr>
                <w:rFonts w:ascii="Times New Roman"/>
                <w:sz w:val="20"/>
              </w:rPr>
            </w:pPr>
          </w:p>
          <w:p w:rsidR="00702852" w:rsidRDefault="00702852">
            <w:pPr>
              <w:pStyle w:val="TableParagraph"/>
              <w:rPr>
                <w:rFonts w:ascii="Times New Roman"/>
                <w:sz w:val="20"/>
              </w:rPr>
            </w:pPr>
          </w:p>
          <w:p w:rsidR="00702852" w:rsidRDefault="00702852">
            <w:pPr>
              <w:pStyle w:val="TableParagraph"/>
              <w:rPr>
                <w:rFonts w:ascii="Times New Roman"/>
                <w:sz w:val="20"/>
              </w:rPr>
            </w:pPr>
          </w:p>
          <w:p w:rsidR="00702852" w:rsidRDefault="00702852">
            <w:pPr>
              <w:pStyle w:val="TableParagraph"/>
              <w:rPr>
                <w:rFonts w:ascii="Times New Roman"/>
                <w:sz w:val="20"/>
              </w:rPr>
            </w:pPr>
          </w:p>
          <w:p w:rsidR="00702852" w:rsidRDefault="00702852">
            <w:pPr>
              <w:pStyle w:val="TableParagraph"/>
              <w:rPr>
                <w:rFonts w:ascii="Times New Roman"/>
                <w:sz w:val="20"/>
              </w:rPr>
            </w:pPr>
          </w:p>
          <w:p w:rsidR="00702852" w:rsidRDefault="00702852">
            <w:pPr>
              <w:pStyle w:val="TableParagraph"/>
              <w:rPr>
                <w:rFonts w:ascii="Times New Roman"/>
                <w:sz w:val="20"/>
              </w:rPr>
            </w:pPr>
          </w:p>
          <w:p w:rsidR="00702852" w:rsidRDefault="00702852">
            <w:pPr>
              <w:pStyle w:val="TableParagraph"/>
              <w:rPr>
                <w:rFonts w:ascii="Times New Roman"/>
                <w:sz w:val="20"/>
              </w:rPr>
            </w:pPr>
          </w:p>
          <w:p w:rsidR="00702852" w:rsidRDefault="00702852">
            <w:pPr>
              <w:pStyle w:val="TableParagraph"/>
              <w:rPr>
                <w:rFonts w:ascii="Times New Roman"/>
                <w:sz w:val="20"/>
              </w:rPr>
            </w:pPr>
          </w:p>
          <w:p w:rsidR="00702852" w:rsidRDefault="00702852">
            <w:pPr>
              <w:pStyle w:val="TableParagraph"/>
              <w:rPr>
                <w:rFonts w:ascii="Times New Roman"/>
                <w:sz w:val="20"/>
              </w:rPr>
            </w:pPr>
          </w:p>
          <w:p w:rsidR="00702852" w:rsidRDefault="00702852">
            <w:pPr>
              <w:pStyle w:val="TableParagraph"/>
              <w:rPr>
                <w:rFonts w:ascii="Times New Roman"/>
                <w:sz w:val="20"/>
              </w:rPr>
            </w:pPr>
          </w:p>
          <w:p w:rsidR="00702852" w:rsidRDefault="00702852">
            <w:pPr>
              <w:pStyle w:val="TableParagraph"/>
              <w:rPr>
                <w:rFonts w:ascii="Times New Roman"/>
                <w:sz w:val="20"/>
              </w:rPr>
            </w:pPr>
          </w:p>
          <w:p w:rsidR="00702852" w:rsidRDefault="00702852">
            <w:pPr>
              <w:pStyle w:val="TableParagraph"/>
              <w:rPr>
                <w:rFonts w:ascii="Times New Roman"/>
                <w:sz w:val="20"/>
              </w:rPr>
            </w:pPr>
          </w:p>
          <w:p w:rsidR="00702852" w:rsidRDefault="00702852">
            <w:pPr>
              <w:pStyle w:val="TableParagraph"/>
              <w:rPr>
                <w:rFonts w:ascii="Times New Roman"/>
                <w:sz w:val="20"/>
              </w:rPr>
            </w:pPr>
          </w:p>
          <w:p w:rsidR="00702852" w:rsidRDefault="00702852">
            <w:pPr>
              <w:pStyle w:val="TableParagraph"/>
              <w:rPr>
                <w:rFonts w:ascii="Times New Roman"/>
                <w:sz w:val="20"/>
              </w:rPr>
            </w:pPr>
          </w:p>
          <w:p w:rsidR="00702852" w:rsidRDefault="00702852">
            <w:pPr>
              <w:pStyle w:val="TableParagraph"/>
              <w:rPr>
                <w:rFonts w:ascii="Times New Roman"/>
                <w:sz w:val="20"/>
              </w:rPr>
            </w:pPr>
          </w:p>
          <w:p w:rsidR="00702852" w:rsidRDefault="00702852">
            <w:pPr>
              <w:pStyle w:val="TableParagraph"/>
              <w:rPr>
                <w:rFonts w:ascii="Times New Roman"/>
                <w:sz w:val="20"/>
              </w:rPr>
            </w:pPr>
          </w:p>
          <w:p w:rsidR="00702852" w:rsidRDefault="00702852">
            <w:pPr>
              <w:pStyle w:val="TableParagraph"/>
              <w:rPr>
                <w:rFonts w:ascii="Times New Roman"/>
                <w:sz w:val="20"/>
              </w:rPr>
            </w:pPr>
          </w:p>
          <w:p w:rsidR="00702852" w:rsidRDefault="00702852">
            <w:pPr>
              <w:pStyle w:val="TableParagraph"/>
              <w:rPr>
                <w:rFonts w:ascii="Times New Roman"/>
                <w:sz w:val="20"/>
              </w:rPr>
            </w:pPr>
          </w:p>
          <w:p w:rsidR="00702852" w:rsidRDefault="00000000">
            <w:pPr>
              <w:pStyle w:val="TableParagraph"/>
              <w:spacing w:before="133" w:line="202" w:lineRule="exact"/>
              <w:ind w:left="1672" w:right="1523"/>
              <w:jc w:val="center"/>
              <w:rPr>
                <w:sz w:val="18"/>
              </w:rPr>
            </w:pPr>
            <w:r>
              <w:rPr>
                <w:sz w:val="18"/>
              </w:rPr>
              <w:t>If</w:t>
            </w:r>
            <w:r>
              <w:rPr>
                <w:spacing w:val="-2"/>
                <w:sz w:val="18"/>
              </w:rPr>
              <w:t xml:space="preserve"> </w:t>
            </w:r>
            <w:r>
              <w:rPr>
                <w:sz w:val="18"/>
              </w:rPr>
              <w:t>you</w:t>
            </w:r>
            <w:r>
              <w:rPr>
                <w:spacing w:val="-1"/>
                <w:sz w:val="18"/>
              </w:rPr>
              <w:t xml:space="preserve"> </w:t>
            </w:r>
            <w:r>
              <w:rPr>
                <w:sz w:val="18"/>
              </w:rPr>
              <w:t>have</w:t>
            </w:r>
            <w:r>
              <w:rPr>
                <w:spacing w:val="-4"/>
                <w:sz w:val="18"/>
              </w:rPr>
              <w:t xml:space="preserve"> </w:t>
            </w:r>
            <w:r>
              <w:rPr>
                <w:sz w:val="18"/>
              </w:rPr>
              <w:t>any</w:t>
            </w:r>
            <w:r>
              <w:rPr>
                <w:spacing w:val="-2"/>
                <w:sz w:val="18"/>
              </w:rPr>
              <w:t xml:space="preserve"> </w:t>
            </w:r>
            <w:r>
              <w:rPr>
                <w:sz w:val="18"/>
              </w:rPr>
              <w:t>questions,</w:t>
            </w:r>
            <w:r>
              <w:rPr>
                <w:spacing w:val="-2"/>
                <w:sz w:val="18"/>
              </w:rPr>
              <w:t xml:space="preserve"> </w:t>
            </w:r>
            <w:r>
              <w:rPr>
                <w:sz w:val="18"/>
              </w:rPr>
              <w:t>please</w:t>
            </w:r>
            <w:r>
              <w:rPr>
                <w:spacing w:val="-4"/>
                <w:sz w:val="18"/>
              </w:rPr>
              <w:t xml:space="preserve"> </w:t>
            </w:r>
            <w:r>
              <w:rPr>
                <w:sz w:val="18"/>
              </w:rPr>
              <w:t>contact</w:t>
            </w:r>
            <w:r>
              <w:rPr>
                <w:spacing w:val="-3"/>
                <w:sz w:val="18"/>
              </w:rPr>
              <w:t xml:space="preserve"> </w:t>
            </w:r>
            <w:r>
              <w:rPr>
                <w:sz w:val="18"/>
              </w:rPr>
              <w:t>the</w:t>
            </w:r>
            <w:r>
              <w:rPr>
                <w:spacing w:val="-1"/>
                <w:sz w:val="18"/>
              </w:rPr>
              <w:t xml:space="preserve"> </w:t>
            </w:r>
            <w:r>
              <w:rPr>
                <w:sz w:val="18"/>
              </w:rPr>
              <w:t>Office</w:t>
            </w:r>
            <w:r>
              <w:rPr>
                <w:spacing w:val="-1"/>
                <w:sz w:val="18"/>
              </w:rPr>
              <w:t xml:space="preserve"> </w:t>
            </w:r>
            <w:r>
              <w:rPr>
                <w:sz w:val="18"/>
              </w:rPr>
              <w:t>of</w:t>
            </w:r>
            <w:r>
              <w:rPr>
                <w:spacing w:val="-2"/>
                <w:sz w:val="18"/>
              </w:rPr>
              <w:t xml:space="preserve"> </w:t>
            </w:r>
            <w:r>
              <w:rPr>
                <w:sz w:val="18"/>
              </w:rPr>
              <w:t xml:space="preserve">the </w:t>
            </w:r>
            <w:r>
              <w:rPr>
                <w:spacing w:val="-2"/>
                <w:sz w:val="18"/>
              </w:rPr>
              <w:t>Building:</w:t>
            </w:r>
          </w:p>
          <w:p w:rsidR="00702852" w:rsidRDefault="00000000">
            <w:pPr>
              <w:pStyle w:val="TableParagraph"/>
              <w:tabs>
                <w:tab w:val="left" w:pos="5609"/>
                <w:tab w:val="left" w:pos="5952"/>
              </w:tabs>
              <w:spacing w:before="3" w:line="228" w:lineRule="auto"/>
              <w:ind w:left="1672" w:right="1681"/>
              <w:jc w:val="center"/>
              <w:rPr>
                <w:sz w:val="18"/>
              </w:rPr>
            </w:pPr>
            <w:r>
              <w:rPr>
                <w:position w:val="1"/>
                <w:sz w:val="18"/>
              </w:rPr>
              <w:t>Phone: 808-545-7500</w:t>
            </w:r>
            <w:r>
              <w:rPr>
                <w:spacing w:val="80"/>
                <w:position w:val="1"/>
                <w:sz w:val="18"/>
              </w:rPr>
              <w:t xml:space="preserve"> </w:t>
            </w:r>
            <w:r>
              <w:rPr>
                <w:b/>
                <w:color w:val="0000FF"/>
                <w:position w:val="2"/>
                <w:sz w:val="18"/>
              </w:rPr>
              <w:t>~</w:t>
            </w:r>
            <w:r>
              <w:rPr>
                <w:b/>
                <w:color w:val="0000FF"/>
                <w:spacing w:val="80"/>
                <w:position w:val="2"/>
                <w:sz w:val="18"/>
              </w:rPr>
              <w:t xml:space="preserve"> </w:t>
            </w:r>
            <w:r>
              <w:rPr>
                <w:position w:val="1"/>
                <w:sz w:val="18"/>
              </w:rPr>
              <w:t>Fax: 808-523-6008</w:t>
            </w:r>
            <w:r>
              <w:rPr>
                <w:position w:val="1"/>
                <w:sz w:val="18"/>
              </w:rPr>
              <w:tab/>
            </w:r>
            <w:r>
              <w:rPr>
                <w:b/>
                <w:color w:val="0000FF"/>
                <w:spacing w:val="-10"/>
                <w:sz w:val="18"/>
              </w:rPr>
              <w:t>~</w:t>
            </w:r>
            <w:r>
              <w:rPr>
                <w:b/>
                <w:color w:val="0000FF"/>
                <w:sz w:val="18"/>
              </w:rPr>
              <w:tab/>
            </w:r>
            <w:r>
              <w:rPr>
                <w:position w:val="1"/>
                <w:sz w:val="18"/>
              </w:rPr>
              <w:t>Email:</w:t>
            </w:r>
            <w:r>
              <w:rPr>
                <w:spacing w:val="-13"/>
                <w:position w:val="1"/>
                <w:sz w:val="18"/>
              </w:rPr>
              <w:t xml:space="preserve"> </w:t>
            </w:r>
            <w:hyperlink r:id="rId7">
              <w:r>
                <w:rPr>
                  <w:color w:val="0000FF"/>
                  <w:position w:val="1"/>
                  <w:sz w:val="18"/>
                  <w:u w:val="single" w:color="0000FF"/>
                </w:rPr>
                <w:t>bishopsquare@douglasemmett.com</w:t>
              </w:r>
            </w:hyperlink>
            <w:r>
              <w:rPr>
                <w:color w:val="0000FF"/>
                <w:position w:val="1"/>
                <w:sz w:val="18"/>
              </w:rPr>
              <w:t xml:space="preserve"> </w:t>
            </w:r>
            <w:r>
              <w:rPr>
                <w:sz w:val="18"/>
              </w:rPr>
              <w:t>1001 Bishop Street, Suite 750 Honolulu, HI 96813</w:t>
            </w:r>
          </w:p>
          <w:p w:rsidR="00702852" w:rsidRDefault="00000000">
            <w:pPr>
              <w:pStyle w:val="TableParagraph"/>
              <w:tabs>
                <w:tab w:val="left" w:pos="9645"/>
              </w:tabs>
              <w:spacing w:line="186" w:lineRule="exact"/>
              <w:ind w:right="153"/>
              <w:jc w:val="center"/>
              <w:rPr>
                <w:b/>
                <w:sz w:val="16"/>
              </w:rPr>
            </w:pPr>
            <w:r>
              <w:rPr>
                <w:b/>
                <w:sz w:val="16"/>
              </w:rPr>
              <w:t>Page</w:t>
            </w:r>
            <w:r>
              <w:rPr>
                <w:b/>
                <w:spacing w:val="-1"/>
                <w:sz w:val="16"/>
              </w:rPr>
              <w:t xml:space="preserve"> </w:t>
            </w:r>
            <w:r>
              <w:rPr>
                <w:b/>
                <w:sz w:val="16"/>
              </w:rPr>
              <w:t>2</w:t>
            </w:r>
            <w:r>
              <w:rPr>
                <w:b/>
                <w:spacing w:val="-2"/>
                <w:sz w:val="16"/>
              </w:rPr>
              <w:t xml:space="preserve"> </w:t>
            </w:r>
            <w:r>
              <w:rPr>
                <w:b/>
                <w:sz w:val="16"/>
              </w:rPr>
              <w:t xml:space="preserve">of </w:t>
            </w:r>
            <w:r>
              <w:rPr>
                <w:b/>
                <w:spacing w:val="-10"/>
                <w:sz w:val="16"/>
              </w:rPr>
              <w:t>2</w:t>
            </w:r>
            <w:r>
              <w:rPr>
                <w:b/>
                <w:sz w:val="16"/>
              </w:rPr>
              <w:tab/>
            </w:r>
            <w:r>
              <w:rPr>
                <w:b/>
                <w:position w:val="1"/>
                <w:sz w:val="16"/>
              </w:rPr>
              <w:t>rev.</w:t>
            </w:r>
            <w:r>
              <w:rPr>
                <w:b/>
                <w:spacing w:val="-6"/>
                <w:position w:val="1"/>
                <w:sz w:val="16"/>
              </w:rPr>
              <w:t xml:space="preserve"> </w:t>
            </w:r>
            <w:r>
              <w:rPr>
                <w:b/>
                <w:spacing w:val="-2"/>
                <w:position w:val="1"/>
                <w:sz w:val="16"/>
              </w:rPr>
              <w:t>05/23</w:t>
            </w:r>
          </w:p>
        </w:tc>
      </w:tr>
    </w:tbl>
    <w:p w:rsidR="003E0C18" w:rsidRDefault="003E0C18"/>
    <w:sectPr w:rsidR="003E0C18">
      <w:type w:val="continuous"/>
      <w:pgSz w:w="12240" w:h="15840"/>
      <w:pgMar w:top="540" w:right="440" w:bottom="280" w:left="440" w:header="720" w:footer="720" w:gutter="0"/>
      <w:pgBorders w:offsetFrom="page">
        <w:top w:val="single" w:sz="4" w:space="24" w:color="003366"/>
        <w:left w:val="single" w:sz="4" w:space="24" w:color="003366"/>
        <w:bottom w:val="single" w:sz="4" w:space="24" w:color="003366"/>
        <w:right w:val="single" w:sz="4" w:space="24" w:color="003366"/>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5E6E"/>
    <w:multiLevelType w:val="hybridMultilevel"/>
    <w:tmpl w:val="B5B2E6BA"/>
    <w:lvl w:ilvl="0" w:tplc="09A6736A">
      <w:start w:val="5"/>
      <w:numFmt w:val="decimal"/>
      <w:lvlText w:val="%1."/>
      <w:lvlJc w:val="left"/>
      <w:pPr>
        <w:ind w:left="270" w:hanging="257"/>
        <w:jc w:val="left"/>
      </w:pPr>
      <w:rPr>
        <w:rFonts w:ascii="Arial" w:eastAsia="Arial" w:hAnsi="Arial" w:cs="Arial" w:hint="default"/>
        <w:b/>
        <w:bCs/>
        <w:i w:val="0"/>
        <w:iCs w:val="0"/>
        <w:w w:val="100"/>
        <w:sz w:val="18"/>
        <w:szCs w:val="18"/>
        <w:lang w:val="en-US" w:eastAsia="en-US" w:bidi="ar-SA"/>
      </w:rPr>
    </w:lvl>
    <w:lvl w:ilvl="1" w:tplc="1B90AEEE">
      <w:numFmt w:val="bullet"/>
      <w:lvlText w:val="•"/>
      <w:lvlJc w:val="left"/>
      <w:pPr>
        <w:ind w:left="1359" w:hanging="257"/>
      </w:pPr>
      <w:rPr>
        <w:rFonts w:hint="default"/>
        <w:lang w:val="en-US" w:eastAsia="en-US" w:bidi="ar-SA"/>
      </w:rPr>
    </w:lvl>
    <w:lvl w:ilvl="2" w:tplc="8700AFC0">
      <w:numFmt w:val="bullet"/>
      <w:lvlText w:val="•"/>
      <w:lvlJc w:val="left"/>
      <w:pPr>
        <w:ind w:left="2438" w:hanging="257"/>
      </w:pPr>
      <w:rPr>
        <w:rFonts w:hint="default"/>
        <w:lang w:val="en-US" w:eastAsia="en-US" w:bidi="ar-SA"/>
      </w:rPr>
    </w:lvl>
    <w:lvl w:ilvl="3" w:tplc="D99491DE">
      <w:numFmt w:val="bullet"/>
      <w:lvlText w:val="•"/>
      <w:lvlJc w:val="left"/>
      <w:pPr>
        <w:ind w:left="3517" w:hanging="257"/>
      </w:pPr>
      <w:rPr>
        <w:rFonts w:hint="default"/>
        <w:lang w:val="en-US" w:eastAsia="en-US" w:bidi="ar-SA"/>
      </w:rPr>
    </w:lvl>
    <w:lvl w:ilvl="4" w:tplc="550C479C">
      <w:numFmt w:val="bullet"/>
      <w:lvlText w:val="•"/>
      <w:lvlJc w:val="left"/>
      <w:pPr>
        <w:ind w:left="4596" w:hanging="257"/>
      </w:pPr>
      <w:rPr>
        <w:rFonts w:hint="default"/>
        <w:lang w:val="en-US" w:eastAsia="en-US" w:bidi="ar-SA"/>
      </w:rPr>
    </w:lvl>
    <w:lvl w:ilvl="5" w:tplc="9E4EA038">
      <w:numFmt w:val="bullet"/>
      <w:lvlText w:val="•"/>
      <w:lvlJc w:val="left"/>
      <w:pPr>
        <w:ind w:left="5676" w:hanging="257"/>
      </w:pPr>
      <w:rPr>
        <w:rFonts w:hint="default"/>
        <w:lang w:val="en-US" w:eastAsia="en-US" w:bidi="ar-SA"/>
      </w:rPr>
    </w:lvl>
    <w:lvl w:ilvl="6" w:tplc="17C2F544">
      <w:numFmt w:val="bullet"/>
      <w:lvlText w:val="•"/>
      <w:lvlJc w:val="left"/>
      <w:pPr>
        <w:ind w:left="6755" w:hanging="257"/>
      </w:pPr>
      <w:rPr>
        <w:rFonts w:hint="default"/>
        <w:lang w:val="en-US" w:eastAsia="en-US" w:bidi="ar-SA"/>
      </w:rPr>
    </w:lvl>
    <w:lvl w:ilvl="7" w:tplc="ED1026B0">
      <w:numFmt w:val="bullet"/>
      <w:lvlText w:val="•"/>
      <w:lvlJc w:val="left"/>
      <w:pPr>
        <w:ind w:left="7834" w:hanging="257"/>
      </w:pPr>
      <w:rPr>
        <w:rFonts w:hint="default"/>
        <w:lang w:val="en-US" w:eastAsia="en-US" w:bidi="ar-SA"/>
      </w:rPr>
    </w:lvl>
    <w:lvl w:ilvl="8" w:tplc="9DB243B4">
      <w:numFmt w:val="bullet"/>
      <w:lvlText w:val="•"/>
      <w:lvlJc w:val="left"/>
      <w:pPr>
        <w:ind w:left="8913" w:hanging="257"/>
      </w:pPr>
      <w:rPr>
        <w:rFonts w:hint="default"/>
        <w:lang w:val="en-US" w:eastAsia="en-US" w:bidi="ar-SA"/>
      </w:rPr>
    </w:lvl>
  </w:abstractNum>
  <w:abstractNum w:abstractNumId="1" w15:restartNumberingAfterBreak="0">
    <w:nsid w:val="6F8A5F10"/>
    <w:multiLevelType w:val="hybridMultilevel"/>
    <w:tmpl w:val="68CE1972"/>
    <w:lvl w:ilvl="0" w:tplc="AFD2BDAC">
      <w:start w:val="1"/>
      <w:numFmt w:val="decimal"/>
      <w:lvlText w:val="%1."/>
      <w:lvlJc w:val="left"/>
      <w:pPr>
        <w:ind w:left="270" w:hanging="288"/>
        <w:jc w:val="left"/>
      </w:pPr>
      <w:rPr>
        <w:rFonts w:ascii="Arial" w:eastAsia="Arial" w:hAnsi="Arial" w:cs="Arial" w:hint="default"/>
        <w:b/>
        <w:bCs/>
        <w:i w:val="0"/>
        <w:iCs w:val="0"/>
        <w:w w:val="100"/>
        <w:sz w:val="18"/>
        <w:szCs w:val="18"/>
        <w:lang w:val="en-US" w:eastAsia="en-US" w:bidi="ar-SA"/>
      </w:rPr>
    </w:lvl>
    <w:lvl w:ilvl="1" w:tplc="F16C4A6E">
      <w:numFmt w:val="bullet"/>
      <w:lvlText w:val=""/>
      <w:lvlJc w:val="left"/>
      <w:pPr>
        <w:ind w:left="870" w:hanging="360"/>
      </w:pPr>
      <w:rPr>
        <w:rFonts w:ascii="Symbol" w:eastAsia="Symbol" w:hAnsi="Symbol" w:cs="Symbol" w:hint="default"/>
        <w:b w:val="0"/>
        <w:bCs w:val="0"/>
        <w:i w:val="0"/>
        <w:iCs w:val="0"/>
        <w:w w:val="100"/>
        <w:sz w:val="18"/>
        <w:szCs w:val="18"/>
        <w:lang w:val="en-US" w:eastAsia="en-US" w:bidi="ar-SA"/>
      </w:rPr>
    </w:lvl>
    <w:lvl w:ilvl="2" w:tplc="D8B050E4">
      <w:numFmt w:val="bullet"/>
      <w:lvlText w:val="•"/>
      <w:lvlJc w:val="left"/>
      <w:pPr>
        <w:ind w:left="2012" w:hanging="360"/>
      </w:pPr>
      <w:rPr>
        <w:rFonts w:hint="default"/>
        <w:lang w:val="en-US" w:eastAsia="en-US" w:bidi="ar-SA"/>
      </w:rPr>
    </w:lvl>
    <w:lvl w:ilvl="3" w:tplc="BB0A030C">
      <w:numFmt w:val="bullet"/>
      <w:lvlText w:val="•"/>
      <w:lvlJc w:val="left"/>
      <w:pPr>
        <w:ind w:left="3144" w:hanging="360"/>
      </w:pPr>
      <w:rPr>
        <w:rFonts w:hint="default"/>
        <w:lang w:val="en-US" w:eastAsia="en-US" w:bidi="ar-SA"/>
      </w:rPr>
    </w:lvl>
    <w:lvl w:ilvl="4" w:tplc="28C8C464">
      <w:numFmt w:val="bullet"/>
      <w:lvlText w:val="•"/>
      <w:lvlJc w:val="left"/>
      <w:pPr>
        <w:ind w:left="4277" w:hanging="360"/>
      </w:pPr>
      <w:rPr>
        <w:rFonts w:hint="default"/>
        <w:lang w:val="en-US" w:eastAsia="en-US" w:bidi="ar-SA"/>
      </w:rPr>
    </w:lvl>
    <w:lvl w:ilvl="5" w:tplc="A9E2D1B0">
      <w:numFmt w:val="bullet"/>
      <w:lvlText w:val="•"/>
      <w:lvlJc w:val="left"/>
      <w:pPr>
        <w:ind w:left="5409" w:hanging="360"/>
      </w:pPr>
      <w:rPr>
        <w:rFonts w:hint="default"/>
        <w:lang w:val="en-US" w:eastAsia="en-US" w:bidi="ar-SA"/>
      </w:rPr>
    </w:lvl>
    <w:lvl w:ilvl="6" w:tplc="04CC4B3E">
      <w:numFmt w:val="bullet"/>
      <w:lvlText w:val="•"/>
      <w:lvlJc w:val="left"/>
      <w:pPr>
        <w:ind w:left="6542" w:hanging="360"/>
      </w:pPr>
      <w:rPr>
        <w:rFonts w:hint="default"/>
        <w:lang w:val="en-US" w:eastAsia="en-US" w:bidi="ar-SA"/>
      </w:rPr>
    </w:lvl>
    <w:lvl w:ilvl="7" w:tplc="E38E83BA">
      <w:numFmt w:val="bullet"/>
      <w:lvlText w:val="•"/>
      <w:lvlJc w:val="left"/>
      <w:pPr>
        <w:ind w:left="7674" w:hanging="360"/>
      </w:pPr>
      <w:rPr>
        <w:rFonts w:hint="default"/>
        <w:lang w:val="en-US" w:eastAsia="en-US" w:bidi="ar-SA"/>
      </w:rPr>
    </w:lvl>
    <w:lvl w:ilvl="8" w:tplc="DD30256A">
      <w:numFmt w:val="bullet"/>
      <w:lvlText w:val="•"/>
      <w:lvlJc w:val="left"/>
      <w:pPr>
        <w:ind w:left="8807" w:hanging="360"/>
      </w:pPr>
      <w:rPr>
        <w:rFonts w:hint="default"/>
        <w:lang w:val="en-US" w:eastAsia="en-US" w:bidi="ar-SA"/>
      </w:rPr>
    </w:lvl>
  </w:abstractNum>
  <w:num w:numId="1" w16cid:durableId="1284196534">
    <w:abstractNumId w:val="0"/>
  </w:num>
  <w:num w:numId="2" w16cid:durableId="259341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52"/>
    <w:rsid w:val="003E0C18"/>
    <w:rsid w:val="00702852"/>
    <w:rsid w:val="00BC262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1304FA-5A6C-4921-B395-6F06B8F7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shopsquare@douglasemmet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shopsquare@douglasemmett.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1164</Words>
  <Characters>6638</Characters>
  <Application>Microsoft Office Word</Application>
  <DocSecurity>0</DocSecurity>
  <Lines>55</Lines>
  <Paragraphs>15</Paragraphs>
  <ScaleCrop>false</ScaleCrop>
  <Company>Douglas Emmett, Inc.</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undersigned hereby requests the use of the Conference Room as follows:</dc:title>
  <dc:creator>Theodore E. Guth</dc:creator>
  <dc:description/>
  <cp:lastModifiedBy>Carmela Villagracia</cp:lastModifiedBy>
  <cp:revision>2</cp:revision>
  <dcterms:created xsi:type="dcterms:W3CDTF">2023-05-20T02:10:00Z</dcterms:created>
  <dcterms:modified xsi:type="dcterms:W3CDTF">2023-05-20T02:10:00Z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2022-02-17T00:00:00Z</vt:filetime>
  </property>
  <property fmtid="{D5CDD505-2E9C-101B-9397-08002B2CF9AE}" pid="3" name="Creator">
    <vt:lpwstr>Acrobat PDFMaker 21 for Word</vt:lpwstr>
  </property>
  <property fmtid="{D5CDD505-2E9C-101B-9397-08002B2CF9AE}" pid="4" name="LastSaved">
    <vt:filetime>2023-05-20T00:00:00Z</vt:filetime>
  </property>
  <property fmtid="{D5CDD505-2E9C-101B-9397-08002B2CF9AE}" pid="5" name="Producer">
    <vt:lpwstr>Adobe PDF Library 21.11.71</vt:lpwstr>
  </property>
  <property fmtid="{D5CDD505-2E9C-101B-9397-08002B2CF9AE}" pid="6" name="SourceModified">
    <vt:lpwstr>D:20210623181402</vt:lpwstr>
  </property>
</Properties>
</file>